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C9E2" w14:textId="08B9AA08" w:rsidR="001A2FD7" w:rsidRPr="00B00B9B" w:rsidRDefault="00B00B9B" w:rsidP="002C49FB">
      <w:pPr>
        <w:pStyle w:val="NoSpacing"/>
        <w:jc w:val="center"/>
        <w:rPr>
          <w:rStyle w:val="Strong"/>
          <w:color w:val="70AD47" w:themeColor="accent6"/>
          <w:sz w:val="44"/>
          <w:szCs w:val="44"/>
          <w:u w:val="single"/>
        </w:rPr>
      </w:pPr>
      <w:r w:rsidRPr="00B00B9B">
        <w:rPr>
          <w:rStyle w:val="Strong"/>
          <w:color w:val="70AD47" w:themeColor="accent6"/>
          <w:sz w:val="44"/>
          <w:szCs w:val="44"/>
          <w:u w:val="single"/>
        </w:rPr>
        <w:t>W</w:t>
      </w:r>
      <w:r w:rsidR="001A2FD7" w:rsidRPr="00B00B9B">
        <w:rPr>
          <w:rStyle w:val="Strong"/>
          <w:color w:val="70AD47" w:themeColor="accent6"/>
          <w:sz w:val="44"/>
          <w:szCs w:val="44"/>
          <w:u w:val="single"/>
        </w:rPr>
        <w:t>orkforce Race Equality Standard (“WRES”</w:t>
      </w:r>
      <w:r w:rsidR="001A2FD7" w:rsidRPr="00B00B9B">
        <w:rPr>
          <w:rStyle w:val="Strong"/>
          <w:color w:val="70AD47" w:themeColor="accent6"/>
          <w:sz w:val="44"/>
          <w:szCs w:val="44"/>
        </w:rPr>
        <w:t>)</w:t>
      </w:r>
    </w:p>
    <w:p w14:paraId="0907E766" w14:textId="5254764A" w:rsidR="00500F00" w:rsidRPr="00B00B9B" w:rsidRDefault="00B00B9B" w:rsidP="002C49FB">
      <w:pPr>
        <w:pStyle w:val="NoSpacing"/>
        <w:jc w:val="center"/>
        <w:rPr>
          <w:rStyle w:val="Strong"/>
          <w:color w:val="70AD47" w:themeColor="accent6"/>
          <w:sz w:val="44"/>
          <w:szCs w:val="44"/>
          <w:u w:val="single"/>
        </w:rPr>
      </w:pPr>
      <w:r w:rsidRPr="00B00B9B">
        <w:rPr>
          <w:rStyle w:val="Strong"/>
          <w:color w:val="70AD47" w:themeColor="accent6"/>
          <w:sz w:val="44"/>
          <w:szCs w:val="44"/>
          <w:u w:val="single"/>
        </w:rPr>
        <w:t xml:space="preserve">Report </w:t>
      </w:r>
      <w:r w:rsidR="009B6419" w:rsidRPr="00B00B9B">
        <w:rPr>
          <w:rStyle w:val="Strong"/>
          <w:color w:val="70AD47" w:themeColor="accent6"/>
          <w:sz w:val="44"/>
          <w:szCs w:val="44"/>
          <w:u w:val="single"/>
        </w:rPr>
        <w:t>2021/22</w:t>
      </w:r>
    </w:p>
    <w:p w14:paraId="086A65A3" w14:textId="77777777" w:rsidR="00856DAE" w:rsidRPr="00856DAE" w:rsidRDefault="00856DAE" w:rsidP="00856DAE"/>
    <w:p w14:paraId="54B4A26F" w14:textId="1753FB86" w:rsidR="00584E95" w:rsidRPr="007819C9" w:rsidRDefault="00584E95" w:rsidP="007819C9">
      <w:pPr>
        <w:pStyle w:val="Heading1"/>
        <w:rPr>
          <w:color w:val="70AD47" w:themeColor="accent6"/>
        </w:rPr>
      </w:pPr>
      <w:bookmarkStart w:id="0" w:name="_Toc107844764"/>
      <w:r w:rsidRPr="007819C9">
        <w:rPr>
          <w:color w:val="70AD47" w:themeColor="accent6"/>
        </w:rPr>
        <w:t>Introduction</w:t>
      </w:r>
      <w:bookmarkEnd w:id="0"/>
    </w:p>
    <w:p w14:paraId="67281495" w14:textId="77777777" w:rsidR="00584E95" w:rsidRPr="00584E95" w:rsidRDefault="00584E95" w:rsidP="00584E95">
      <w:pPr>
        <w:rPr>
          <w:sz w:val="4"/>
          <w:szCs w:val="4"/>
        </w:rPr>
      </w:pPr>
    </w:p>
    <w:p w14:paraId="3003074A" w14:textId="7130157A" w:rsidR="00E921E4" w:rsidRDefault="00B00B9B" w:rsidP="004F2EEB">
      <w:r>
        <w:t>The WRES is a</w:t>
      </w:r>
      <w:r w:rsidR="00E921E4">
        <w:t>n annual</w:t>
      </w:r>
      <w:r>
        <w:t xml:space="preserve"> set of measures</w:t>
      </w:r>
      <w:r w:rsidR="00E921E4">
        <w:t xml:space="preserve"> for the NHS</w:t>
      </w:r>
      <w:r>
        <w:t xml:space="preserve">, designed to track how Trusts are </w:t>
      </w:r>
      <w:r w:rsidR="00E921E4">
        <w:t xml:space="preserve">ensuring </w:t>
      </w:r>
      <w:r>
        <w:t xml:space="preserve">their staff processes are fair and equitable for all.  </w:t>
      </w:r>
      <w:r w:rsidR="00E921E4">
        <w:t xml:space="preserve">The evidence shows that people from black, </w:t>
      </w:r>
      <w:proofErr w:type="gramStart"/>
      <w:r w:rsidR="00E921E4">
        <w:t>Asian</w:t>
      </w:r>
      <w:proofErr w:type="gramEnd"/>
      <w:r w:rsidR="00E921E4">
        <w:t xml:space="preserve"> or other minority ethnic communities do not fare as well as their white counterparts, when it comes to employment, through the range of ‘touchpoints’ like recruitment, promotion, training opportunities etc. </w:t>
      </w:r>
    </w:p>
    <w:p w14:paraId="41084FA5" w14:textId="738421F6" w:rsidR="007171B8" w:rsidRDefault="00B00B9B" w:rsidP="004F2EEB">
      <w:r>
        <w:t>This report shows how Barnet Enfield and Haringey</w:t>
      </w:r>
      <w:r w:rsidR="00433C0C">
        <w:t xml:space="preserve"> NHS</w:t>
      </w:r>
      <w:r>
        <w:t xml:space="preserve"> Trust (BEH) is doing in i</w:t>
      </w:r>
      <w:r w:rsidR="00E921E4">
        <w:t>t</w:t>
      </w:r>
      <w:r>
        <w:t>s race equality aspirations</w:t>
      </w:r>
      <w:r w:rsidR="00E921E4">
        <w:t>, and an action plan for the next 12 months is at the end to help us work with staff to improve their experience and equitable outcomes</w:t>
      </w:r>
      <w:r>
        <w:t xml:space="preserve">. </w:t>
      </w:r>
    </w:p>
    <w:p w14:paraId="2153080C" w14:textId="69906C47" w:rsidR="000612F8" w:rsidRPr="00F21159" w:rsidRDefault="000612F8" w:rsidP="001A2FD7">
      <w:pPr>
        <w:pStyle w:val="Heading1"/>
        <w:rPr>
          <w:rStyle w:val="Strong"/>
          <w:b/>
          <w:bCs w:val="0"/>
          <w:color w:val="70AD47" w:themeColor="accent6"/>
        </w:rPr>
      </w:pPr>
      <w:bookmarkStart w:id="1" w:name="_Toc107844765"/>
      <w:r w:rsidRPr="00F21159">
        <w:rPr>
          <w:rStyle w:val="Strong"/>
          <w:b/>
          <w:bCs w:val="0"/>
          <w:color w:val="70AD47" w:themeColor="accent6"/>
        </w:rPr>
        <w:t>Indicator 1 – workforce profile of ethnicity</w:t>
      </w:r>
      <w:r w:rsidR="00E66590" w:rsidRPr="00F21159">
        <w:rPr>
          <w:rStyle w:val="Strong"/>
          <w:b/>
          <w:bCs w:val="0"/>
          <w:color w:val="70AD47" w:themeColor="accent6"/>
        </w:rPr>
        <w:t>; clinical, non-clinical and medical &amp; dental workforce</w:t>
      </w:r>
      <w:bookmarkEnd w:id="1"/>
      <w:r w:rsidRPr="00F21159">
        <w:rPr>
          <w:rStyle w:val="Strong"/>
          <w:b/>
          <w:bCs w:val="0"/>
          <w:color w:val="70AD47" w:themeColor="accent6"/>
        </w:rPr>
        <w:t xml:space="preserve"> </w:t>
      </w:r>
    </w:p>
    <w:p w14:paraId="6496C29F" w14:textId="77777777" w:rsidR="009C48BC" w:rsidRPr="009C48BC" w:rsidRDefault="009C48BC" w:rsidP="009C48BC"/>
    <w:p w14:paraId="0F0D05EA" w14:textId="4F174C47" w:rsidR="002456E5" w:rsidRDefault="00F1742B" w:rsidP="00664534">
      <w:pPr>
        <w:rPr>
          <w:rStyle w:val="Strong"/>
          <w:b w:val="0"/>
          <w:bCs w:val="0"/>
        </w:rPr>
      </w:pPr>
      <w:r>
        <w:rPr>
          <w:rStyle w:val="Strong"/>
          <w:b w:val="0"/>
          <w:bCs w:val="0"/>
        </w:rPr>
        <w:t xml:space="preserve">At </w:t>
      </w:r>
      <w:r w:rsidR="007171B8">
        <w:rPr>
          <w:rStyle w:val="Strong"/>
          <w:b w:val="0"/>
          <w:bCs w:val="0"/>
        </w:rPr>
        <w:t>31</w:t>
      </w:r>
      <w:r>
        <w:rPr>
          <w:rStyle w:val="Strong"/>
          <w:b w:val="0"/>
          <w:bCs w:val="0"/>
        </w:rPr>
        <w:t>.0</w:t>
      </w:r>
      <w:r w:rsidR="007171B8">
        <w:rPr>
          <w:rStyle w:val="Strong"/>
          <w:b w:val="0"/>
          <w:bCs w:val="0"/>
        </w:rPr>
        <w:t>3</w:t>
      </w:r>
      <w:r>
        <w:rPr>
          <w:rStyle w:val="Strong"/>
          <w:b w:val="0"/>
          <w:bCs w:val="0"/>
        </w:rPr>
        <w:t>.</w:t>
      </w:r>
      <w:r w:rsidR="009F0BB0">
        <w:rPr>
          <w:rStyle w:val="Strong"/>
          <w:b w:val="0"/>
          <w:bCs w:val="0"/>
        </w:rPr>
        <w:t xml:space="preserve">22, the Trust had </w:t>
      </w:r>
      <w:r w:rsidR="00C352F1">
        <w:rPr>
          <w:rStyle w:val="Strong"/>
          <w:b w:val="0"/>
          <w:bCs w:val="0"/>
        </w:rPr>
        <w:t xml:space="preserve">a total of </w:t>
      </w:r>
      <w:r w:rsidR="009F0BB0" w:rsidRPr="00AF2472">
        <w:rPr>
          <w:rStyle w:val="Strong"/>
          <w:b w:val="0"/>
          <w:bCs w:val="0"/>
          <w:i/>
          <w:iCs/>
        </w:rPr>
        <w:t>n=</w:t>
      </w:r>
      <w:r w:rsidR="00367DDF">
        <w:rPr>
          <w:rStyle w:val="Strong"/>
          <w:b w:val="0"/>
          <w:bCs w:val="0"/>
        </w:rPr>
        <w:t xml:space="preserve">3,513 people in its employment, comprising: </w:t>
      </w:r>
    </w:p>
    <w:p w14:paraId="17AB4562" w14:textId="1B3210D8" w:rsidR="00367DDF" w:rsidRDefault="00914B5B" w:rsidP="00367DDF">
      <w:pPr>
        <w:pStyle w:val="ListParagraph"/>
        <w:numPr>
          <w:ilvl w:val="0"/>
          <w:numId w:val="3"/>
        </w:numPr>
        <w:rPr>
          <w:rStyle w:val="Strong"/>
          <w:b w:val="0"/>
          <w:bCs w:val="0"/>
        </w:rPr>
      </w:pPr>
      <w:r>
        <w:rPr>
          <w:rStyle w:val="Strong"/>
          <w:b w:val="0"/>
          <w:bCs w:val="0"/>
        </w:rPr>
        <w:t>People from black, Asian and minority ethnic (“BAME”</w:t>
      </w:r>
      <w:r w:rsidR="00660343">
        <w:rPr>
          <w:rStyle w:val="Strong"/>
          <w:b w:val="0"/>
          <w:bCs w:val="0"/>
        </w:rPr>
        <w:t xml:space="preserve"> or “BME”</w:t>
      </w:r>
      <w:r>
        <w:rPr>
          <w:rStyle w:val="Strong"/>
          <w:b w:val="0"/>
          <w:bCs w:val="0"/>
        </w:rPr>
        <w:t>) communities</w:t>
      </w:r>
      <w:r w:rsidR="00C9346D">
        <w:rPr>
          <w:rStyle w:val="Strong"/>
          <w:b w:val="0"/>
          <w:bCs w:val="0"/>
        </w:rPr>
        <w:t>;</w:t>
      </w:r>
      <w:r>
        <w:rPr>
          <w:rStyle w:val="Strong"/>
          <w:b w:val="0"/>
          <w:bCs w:val="0"/>
        </w:rPr>
        <w:t xml:space="preserve"> </w:t>
      </w:r>
      <w:r w:rsidRPr="00C9346D">
        <w:rPr>
          <w:rStyle w:val="Strong"/>
          <w:b w:val="0"/>
          <w:bCs w:val="0"/>
          <w:i/>
          <w:iCs/>
        </w:rPr>
        <w:t>n=</w:t>
      </w:r>
      <w:r>
        <w:rPr>
          <w:rStyle w:val="Strong"/>
          <w:b w:val="0"/>
          <w:bCs w:val="0"/>
        </w:rPr>
        <w:t>1,405</w:t>
      </w:r>
    </w:p>
    <w:p w14:paraId="00726D6E" w14:textId="77777777" w:rsidR="00C9346D" w:rsidRDefault="00C9346D" w:rsidP="00367DDF">
      <w:pPr>
        <w:pStyle w:val="ListParagraph"/>
        <w:numPr>
          <w:ilvl w:val="0"/>
          <w:numId w:val="3"/>
        </w:numPr>
        <w:rPr>
          <w:rStyle w:val="Strong"/>
          <w:b w:val="0"/>
          <w:bCs w:val="0"/>
        </w:rPr>
      </w:pPr>
      <w:r>
        <w:rPr>
          <w:rStyle w:val="Strong"/>
          <w:b w:val="0"/>
          <w:bCs w:val="0"/>
        </w:rPr>
        <w:t xml:space="preserve">People from white communities; </w:t>
      </w:r>
      <w:r w:rsidRPr="00AF2472">
        <w:rPr>
          <w:rStyle w:val="Strong"/>
          <w:b w:val="0"/>
          <w:bCs w:val="0"/>
          <w:i/>
          <w:iCs/>
        </w:rPr>
        <w:t>n=</w:t>
      </w:r>
      <w:r>
        <w:rPr>
          <w:rStyle w:val="Strong"/>
          <w:b w:val="0"/>
          <w:bCs w:val="0"/>
        </w:rPr>
        <w:t xml:space="preserve">1,944 </w:t>
      </w:r>
    </w:p>
    <w:p w14:paraId="180242B4" w14:textId="77777777" w:rsidR="00116CEB" w:rsidRDefault="00C9346D" w:rsidP="00367DDF">
      <w:pPr>
        <w:pStyle w:val="ListParagraph"/>
        <w:numPr>
          <w:ilvl w:val="0"/>
          <w:numId w:val="3"/>
        </w:numPr>
        <w:rPr>
          <w:rStyle w:val="Strong"/>
          <w:b w:val="0"/>
          <w:bCs w:val="0"/>
        </w:rPr>
      </w:pPr>
      <w:r>
        <w:rPr>
          <w:rStyle w:val="Strong"/>
          <w:b w:val="0"/>
          <w:bCs w:val="0"/>
        </w:rPr>
        <w:t xml:space="preserve">People whose ethnicity is not known; </w:t>
      </w:r>
      <w:r w:rsidRPr="00AF2472">
        <w:rPr>
          <w:rStyle w:val="Strong"/>
          <w:b w:val="0"/>
          <w:bCs w:val="0"/>
          <w:i/>
          <w:iCs/>
        </w:rPr>
        <w:t>n</w:t>
      </w:r>
      <w:r>
        <w:rPr>
          <w:rStyle w:val="Strong"/>
          <w:b w:val="0"/>
          <w:bCs w:val="0"/>
        </w:rPr>
        <w:t>=</w:t>
      </w:r>
      <w:r w:rsidR="00116CEB">
        <w:rPr>
          <w:rStyle w:val="Strong"/>
          <w:b w:val="0"/>
          <w:bCs w:val="0"/>
        </w:rPr>
        <w:t xml:space="preserve">164. </w:t>
      </w:r>
    </w:p>
    <w:p w14:paraId="55D3051C" w14:textId="2A3D3494" w:rsidR="00116CEB" w:rsidRPr="00AF2472" w:rsidRDefault="00116CEB" w:rsidP="00116CEB">
      <w:pPr>
        <w:rPr>
          <w:rStyle w:val="Strong"/>
          <w:b w:val="0"/>
          <w:bCs w:val="0"/>
          <w:i/>
          <w:iCs/>
        </w:rPr>
      </w:pPr>
      <w:r w:rsidRPr="00AF2472">
        <w:rPr>
          <w:rStyle w:val="Strong"/>
          <w:b w:val="0"/>
          <w:bCs w:val="0"/>
          <w:i/>
          <w:iCs/>
        </w:rPr>
        <w:t>These are headcount</w:t>
      </w:r>
      <w:r w:rsidR="00BE55A6">
        <w:rPr>
          <w:rStyle w:val="Strong"/>
          <w:b w:val="0"/>
          <w:bCs w:val="0"/>
          <w:i/>
          <w:iCs/>
        </w:rPr>
        <w:t xml:space="preserve"> </w:t>
      </w:r>
      <w:proofErr w:type="gramStart"/>
      <w:r w:rsidR="00BE55A6">
        <w:rPr>
          <w:rStyle w:val="Strong"/>
          <w:b w:val="0"/>
          <w:bCs w:val="0"/>
          <w:i/>
          <w:iCs/>
        </w:rPr>
        <w:t>values;</w:t>
      </w:r>
      <w:proofErr w:type="gramEnd"/>
      <w:r w:rsidR="00BE55A6">
        <w:rPr>
          <w:rStyle w:val="Strong"/>
          <w:b w:val="0"/>
          <w:bCs w:val="0"/>
          <w:i/>
          <w:iCs/>
        </w:rPr>
        <w:t xml:space="preserve"> not FTE</w:t>
      </w:r>
      <w:r w:rsidRPr="00AF2472">
        <w:rPr>
          <w:rStyle w:val="Strong"/>
          <w:b w:val="0"/>
          <w:bCs w:val="0"/>
          <w:i/>
          <w:iCs/>
        </w:rPr>
        <w:t xml:space="preserve">.  </w:t>
      </w:r>
    </w:p>
    <w:p w14:paraId="5AA8AB10" w14:textId="77777777" w:rsidR="00B00B9B" w:rsidRDefault="00B00B9B" w:rsidP="00A2151E">
      <w:pPr>
        <w:ind w:firstLine="720"/>
      </w:pPr>
    </w:p>
    <w:p w14:paraId="30FA6426" w14:textId="0927E5D4" w:rsidR="000612F8" w:rsidRDefault="000612F8" w:rsidP="00A2151E">
      <w:pPr>
        <w:ind w:firstLine="720"/>
      </w:pPr>
      <w:r>
        <w:rPr>
          <w:noProof/>
        </w:rPr>
        <w:lastRenderedPageBreak/>
        <w:drawing>
          <wp:inline distT="0" distB="0" distL="0" distR="0" wp14:anchorId="18DDC2EE" wp14:editId="0EA5BC87">
            <wp:extent cx="4660900" cy="2908300"/>
            <wp:effectExtent l="0" t="0" r="6350" b="6350"/>
            <wp:docPr id="1" name="Chart 1">
              <a:extLst xmlns:a="http://schemas.openxmlformats.org/drawingml/2006/main">
                <a:ext uri="{FF2B5EF4-FFF2-40B4-BE49-F238E27FC236}">
                  <a16:creationId xmlns:a16="http://schemas.microsoft.com/office/drawing/2014/main" id="{546DDB46-CD24-4A82-A797-64E0284A0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1C2994" w14:textId="600807D3" w:rsidR="000E6F7A" w:rsidRPr="00416EB6" w:rsidRDefault="00843140" w:rsidP="00416EB6">
      <w:pPr>
        <w:jc w:val="right"/>
        <w:rPr>
          <w:i/>
          <w:iCs/>
        </w:rPr>
      </w:pPr>
      <w:r w:rsidRPr="00416EB6">
        <w:rPr>
          <w:i/>
          <w:iCs/>
        </w:rPr>
        <w:t xml:space="preserve">Figure 1: non-clinical staff at every pay band in the Trust </w:t>
      </w:r>
      <w:r w:rsidR="00416EB6" w:rsidRPr="00416EB6">
        <w:rPr>
          <w:i/>
          <w:iCs/>
        </w:rPr>
        <w:t>at 31.03.2022</w:t>
      </w:r>
    </w:p>
    <w:p w14:paraId="2F5CCBBA" w14:textId="2EBCF91E" w:rsidR="000612F8" w:rsidRDefault="000612F8" w:rsidP="00B404E7">
      <w:pPr>
        <w:ind w:firstLine="720"/>
      </w:pPr>
      <w:r>
        <w:rPr>
          <w:noProof/>
        </w:rPr>
        <w:drawing>
          <wp:inline distT="0" distB="0" distL="0" distR="0" wp14:anchorId="3878F1B7" wp14:editId="69F5B980">
            <wp:extent cx="4641850" cy="2828925"/>
            <wp:effectExtent l="0" t="0" r="6350" b="9525"/>
            <wp:docPr id="3" name="Chart 3">
              <a:extLst xmlns:a="http://schemas.openxmlformats.org/drawingml/2006/main">
                <a:ext uri="{FF2B5EF4-FFF2-40B4-BE49-F238E27FC236}">
                  <a16:creationId xmlns:a16="http://schemas.microsoft.com/office/drawing/2014/main" id="{B12165C2-B0AC-48B4-9F7B-901D5244D9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7B602E" w14:textId="3959C049" w:rsidR="00416EB6" w:rsidRPr="00416EB6" w:rsidRDefault="00416EB6" w:rsidP="00416EB6">
      <w:pPr>
        <w:jc w:val="right"/>
        <w:rPr>
          <w:i/>
          <w:iCs/>
        </w:rPr>
      </w:pPr>
      <w:r w:rsidRPr="00416EB6">
        <w:rPr>
          <w:i/>
          <w:iCs/>
        </w:rPr>
        <w:t xml:space="preserve">Figure </w:t>
      </w:r>
      <w:r>
        <w:rPr>
          <w:i/>
          <w:iCs/>
        </w:rPr>
        <w:t>2</w:t>
      </w:r>
      <w:r w:rsidRPr="00416EB6">
        <w:rPr>
          <w:i/>
          <w:iCs/>
        </w:rPr>
        <w:t xml:space="preserve">: clinical staff </w:t>
      </w:r>
      <w:r w:rsidR="007171B8">
        <w:rPr>
          <w:i/>
          <w:iCs/>
        </w:rPr>
        <w:t xml:space="preserve">(excluding medics) </w:t>
      </w:r>
      <w:r w:rsidRPr="00416EB6">
        <w:rPr>
          <w:i/>
          <w:iCs/>
        </w:rPr>
        <w:t>at every pay band in the Trust at 31.03.2022</w:t>
      </w:r>
    </w:p>
    <w:p w14:paraId="22ADCC17" w14:textId="77777777" w:rsidR="00416EB6" w:rsidRDefault="00416EB6" w:rsidP="00D16E14">
      <w:pPr>
        <w:jc w:val="center"/>
      </w:pPr>
    </w:p>
    <w:p w14:paraId="323477B9" w14:textId="2B2F3ED4" w:rsidR="00FC1754" w:rsidRDefault="00FC1754" w:rsidP="00FC1754">
      <w:pPr>
        <w:jc w:val="center"/>
        <w:rPr>
          <w:i/>
          <w:iCs/>
        </w:rPr>
      </w:pPr>
      <w:r>
        <w:rPr>
          <w:noProof/>
        </w:rPr>
        <w:lastRenderedPageBreak/>
        <w:drawing>
          <wp:anchor distT="0" distB="0" distL="114300" distR="114300" simplePos="0" relativeHeight="251664384" behindDoc="0" locked="0" layoutInCell="1" allowOverlap="1" wp14:anchorId="0F3A44AB" wp14:editId="5C9196E1">
            <wp:simplePos x="0" y="0"/>
            <wp:positionH relativeFrom="column">
              <wp:posOffset>6350</wp:posOffset>
            </wp:positionH>
            <wp:positionV relativeFrom="paragraph">
              <wp:posOffset>185420</wp:posOffset>
            </wp:positionV>
            <wp:extent cx="4794250" cy="3048000"/>
            <wp:effectExtent l="0" t="0" r="6350" b="0"/>
            <wp:wrapSquare wrapText="bothSides"/>
            <wp:docPr id="4" name="Chart 4">
              <a:extLst xmlns:a="http://schemas.openxmlformats.org/drawingml/2006/main">
                <a:ext uri="{FF2B5EF4-FFF2-40B4-BE49-F238E27FC236}">
                  <a16:creationId xmlns:a16="http://schemas.microsoft.com/office/drawing/2014/main" id="{851426B2-152A-4C36-8446-69139F0FCE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7422A">
        <w:br w:type="textWrapping" w:clear="all"/>
      </w:r>
      <w:r w:rsidR="00B404E7">
        <w:rPr>
          <w:i/>
          <w:iCs/>
        </w:rPr>
        <w:tab/>
      </w:r>
    </w:p>
    <w:p w14:paraId="34D820DC" w14:textId="77777777" w:rsidR="00FC1754" w:rsidRDefault="00FC1754" w:rsidP="00FC1754">
      <w:pPr>
        <w:jc w:val="center"/>
        <w:rPr>
          <w:i/>
          <w:iCs/>
        </w:rPr>
      </w:pPr>
    </w:p>
    <w:p w14:paraId="3396897D" w14:textId="77777777" w:rsidR="00FC1754" w:rsidRDefault="00FC1754" w:rsidP="00FC1754">
      <w:pPr>
        <w:jc w:val="center"/>
        <w:rPr>
          <w:i/>
          <w:iCs/>
        </w:rPr>
      </w:pPr>
    </w:p>
    <w:p w14:paraId="008E403A" w14:textId="77777777" w:rsidR="00FC1754" w:rsidRDefault="00FC1754" w:rsidP="00FC1754">
      <w:pPr>
        <w:jc w:val="center"/>
        <w:rPr>
          <w:i/>
          <w:iCs/>
        </w:rPr>
      </w:pPr>
    </w:p>
    <w:p w14:paraId="55F12689" w14:textId="77777777" w:rsidR="00FC1754" w:rsidRDefault="00FC1754" w:rsidP="00FC1754">
      <w:pPr>
        <w:jc w:val="center"/>
        <w:rPr>
          <w:i/>
          <w:iCs/>
        </w:rPr>
      </w:pPr>
    </w:p>
    <w:p w14:paraId="4C14570B" w14:textId="77777777" w:rsidR="00FC1754" w:rsidRDefault="00FC1754" w:rsidP="00FC1754">
      <w:pPr>
        <w:jc w:val="center"/>
        <w:rPr>
          <w:i/>
          <w:iCs/>
        </w:rPr>
      </w:pPr>
    </w:p>
    <w:p w14:paraId="428C323D" w14:textId="77777777" w:rsidR="00FC1754" w:rsidRDefault="00FC1754" w:rsidP="00FC1754">
      <w:pPr>
        <w:jc w:val="center"/>
        <w:rPr>
          <w:i/>
          <w:iCs/>
        </w:rPr>
      </w:pPr>
    </w:p>
    <w:p w14:paraId="436828EF" w14:textId="77777777" w:rsidR="00FC1754" w:rsidRDefault="00FC1754" w:rsidP="00FC1754">
      <w:pPr>
        <w:jc w:val="center"/>
        <w:rPr>
          <w:i/>
          <w:iCs/>
        </w:rPr>
      </w:pPr>
    </w:p>
    <w:p w14:paraId="5D710BAC" w14:textId="77777777" w:rsidR="00FC1754" w:rsidRDefault="00FC1754" w:rsidP="00FC1754">
      <w:pPr>
        <w:jc w:val="center"/>
        <w:rPr>
          <w:i/>
          <w:iCs/>
        </w:rPr>
      </w:pPr>
    </w:p>
    <w:p w14:paraId="3E6E260C" w14:textId="77777777" w:rsidR="00FC1754" w:rsidRDefault="00FC1754" w:rsidP="00FC1754">
      <w:pPr>
        <w:jc w:val="center"/>
        <w:rPr>
          <w:i/>
          <w:iCs/>
        </w:rPr>
      </w:pPr>
    </w:p>
    <w:p w14:paraId="4941C07B" w14:textId="77777777" w:rsidR="00FC1754" w:rsidRDefault="00FC1754" w:rsidP="00FC1754">
      <w:pPr>
        <w:jc w:val="right"/>
        <w:rPr>
          <w:i/>
          <w:iCs/>
        </w:rPr>
      </w:pPr>
    </w:p>
    <w:p w14:paraId="2FBE09B8" w14:textId="585620F6" w:rsidR="00FC1754" w:rsidRPr="00416EB6" w:rsidRDefault="00FC1754" w:rsidP="00FC1754">
      <w:pPr>
        <w:jc w:val="right"/>
        <w:rPr>
          <w:i/>
          <w:iCs/>
        </w:rPr>
      </w:pPr>
      <w:r w:rsidRPr="00416EB6">
        <w:rPr>
          <w:i/>
          <w:iCs/>
        </w:rPr>
        <w:t xml:space="preserve">Figure </w:t>
      </w:r>
      <w:r>
        <w:rPr>
          <w:i/>
          <w:iCs/>
        </w:rPr>
        <w:t>3</w:t>
      </w:r>
      <w:r w:rsidRPr="00416EB6">
        <w:rPr>
          <w:i/>
          <w:iCs/>
        </w:rPr>
        <w:t xml:space="preserve">: </w:t>
      </w:r>
      <w:r>
        <w:rPr>
          <w:i/>
          <w:iCs/>
        </w:rPr>
        <w:t xml:space="preserve">Medical &amp; Dental </w:t>
      </w:r>
      <w:r w:rsidRPr="00416EB6">
        <w:rPr>
          <w:i/>
          <w:iCs/>
        </w:rPr>
        <w:t xml:space="preserve">staff at </w:t>
      </w:r>
      <w:r>
        <w:rPr>
          <w:i/>
          <w:iCs/>
        </w:rPr>
        <w:t xml:space="preserve">each grade </w:t>
      </w:r>
      <w:r w:rsidRPr="00416EB6">
        <w:rPr>
          <w:i/>
          <w:iCs/>
        </w:rPr>
        <w:t>in the Trust at 31.03.2022</w:t>
      </w:r>
    </w:p>
    <w:p w14:paraId="033728DD" w14:textId="59282904" w:rsidR="00C74B20" w:rsidRPr="00C74B20" w:rsidRDefault="00B00B9B" w:rsidP="00B00B9B">
      <w:pPr>
        <w:pStyle w:val="Heading2"/>
      </w:pPr>
      <w:r>
        <w:t>Summary</w:t>
      </w:r>
    </w:p>
    <w:p w14:paraId="2633BC7D" w14:textId="2571E105" w:rsidR="00554218" w:rsidRDefault="00C3006C" w:rsidP="00B00B9B">
      <w:r>
        <w:t xml:space="preserve">The NHS People Plan encourages Trusts to embed themselves in their local community as an employer of choice and to develop their reputation within that catchment </w:t>
      </w:r>
      <w:proofErr w:type="gramStart"/>
      <w:r>
        <w:t>area;  which</w:t>
      </w:r>
      <w:proofErr w:type="gramEnd"/>
      <w:r>
        <w:t xml:space="preserve"> for BEH is an ethnically diverse </w:t>
      </w:r>
      <w:r w:rsidR="00074450">
        <w:t>geography</w:t>
      </w:r>
      <w:r>
        <w:t xml:space="preserve">.  We have invested in a strategic </w:t>
      </w:r>
      <w:r w:rsidR="00074450">
        <w:t>campaign</w:t>
      </w:r>
      <w:r>
        <w:t xml:space="preserve"> to i</w:t>
      </w:r>
      <w:r w:rsidR="00554218">
        <w:t>ncrease in the percentage representation of people in BAME communities at all bands</w:t>
      </w:r>
      <w:r>
        <w:t xml:space="preserve">, </w:t>
      </w:r>
      <w:r w:rsidR="00074450">
        <w:t>called,</w:t>
      </w:r>
      <w:r w:rsidR="00281606">
        <w:t xml:space="preserve"> “Somebody Like Me”</w:t>
      </w:r>
      <w:r w:rsidR="003F5984">
        <w:t xml:space="preserve">.  We </w:t>
      </w:r>
      <w:r>
        <w:t xml:space="preserve">anticipate </w:t>
      </w:r>
      <w:r w:rsidR="003F5984">
        <w:t>increased BAME representation at every band showing in the data, with</w:t>
      </w:r>
      <w:r>
        <w:t>in the next 12-24 months</w:t>
      </w:r>
      <w:r w:rsidR="00074450">
        <w:t xml:space="preserve">, as we embed the </w:t>
      </w:r>
      <w:r w:rsidR="00966312">
        <w:t>“</w:t>
      </w:r>
      <w:r w:rsidR="00074450">
        <w:t>Somebody Like Me</w:t>
      </w:r>
      <w:r w:rsidR="00966312">
        <w:t>”</w:t>
      </w:r>
      <w:r w:rsidR="00074450">
        <w:t xml:space="preserve"> branding and key messages</w:t>
      </w:r>
      <w:r w:rsidR="003F5984">
        <w:t xml:space="preserve">. </w:t>
      </w:r>
      <w:r>
        <w:t xml:space="preserve"> </w:t>
      </w:r>
    </w:p>
    <w:p w14:paraId="3AE297A8" w14:textId="56D514FC" w:rsidR="00342DBD" w:rsidRPr="00F21159" w:rsidRDefault="00342DBD" w:rsidP="001A2FD7">
      <w:pPr>
        <w:pStyle w:val="Heading1"/>
        <w:rPr>
          <w:rStyle w:val="Strong"/>
          <w:b/>
          <w:bCs w:val="0"/>
          <w:color w:val="70AD47" w:themeColor="accent6"/>
        </w:rPr>
      </w:pPr>
      <w:bookmarkStart w:id="2" w:name="_Toc107844771"/>
      <w:r w:rsidRPr="00F21159">
        <w:rPr>
          <w:rStyle w:val="Strong"/>
          <w:b/>
          <w:bCs w:val="0"/>
          <w:color w:val="70AD47" w:themeColor="accent6"/>
        </w:rPr>
        <w:t xml:space="preserve">Indicator 2 – </w:t>
      </w:r>
      <w:r w:rsidR="00196091" w:rsidRPr="00F21159">
        <w:rPr>
          <w:rStyle w:val="Strong"/>
          <w:b/>
          <w:bCs w:val="0"/>
          <w:color w:val="70AD47" w:themeColor="accent6"/>
        </w:rPr>
        <w:t>Relative likelihood of staff from BAME</w:t>
      </w:r>
      <w:r w:rsidR="004E18CA" w:rsidRPr="00F21159">
        <w:rPr>
          <w:rStyle w:val="Strong"/>
          <w:b/>
          <w:bCs w:val="0"/>
          <w:color w:val="70AD47" w:themeColor="accent6"/>
        </w:rPr>
        <w:t xml:space="preserve"> communities being appointed from shortlist, when compared with the relative likelihood of </w:t>
      </w:r>
      <w:r w:rsidR="00015B2E" w:rsidRPr="00F21159">
        <w:rPr>
          <w:rStyle w:val="Strong"/>
          <w:b/>
          <w:bCs w:val="0"/>
          <w:color w:val="70AD47" w:themeColor="accent6"/>
        </w:rPr>
        <w:t xml:space="preserve">recruitment of </w:t>
      </w:r>
      <w:r w:rsidR="004E18CA" w:rsidRPr="00F21159">
        <w:rPr>
          <w:rStyle w:val="Strong"/>
          <w:b/>
          <w:bCs w:val="0"/>
          <w:color w:val="70AD47" w:themeColor="accent6"/>
        </w:rPr>
        <w:t>staff from white communities</w:t>
      </w:r>
      <w:bookmarkEnd w:id="2"/>
      <w:r w:rsidR="004E18CA" w:rsidRPr="00F21159">
        <w:rPr>
          <w:rStyle w:val="Strong"/>
          <w:b/>
          <w:bCs w:val="0"/>
          <w:color w:val="70AD47" w:themeColor="accent6"/>
        </w:rPr>
        <w:t xml:space="preserve"> </w:t>
      </w:r>
    </w:p>
    <w:p w14:paraId="7D62D17A" w14:textId="77777777" w:rsidR="00EE5FE5" w:rsidRPr="00EE5FE5" w:rsidRDefault="00EE5FE5" w:rsidP="00EE5FE5"/>
    <w:p w14:paraId="2FDCA767" w14:textId="7045195E" w:rsidR="00AA1562" w:rsidRDefault="00C52AD4" w:rsidP="00342DBD">
      <w:pPr>
        <w:rPr>
          <w:rStyle w:val="Strong"/>
          <w:b w:val="0"/>
          <w:bCs w:val="0"/>
        </w:rPr>
      </w:pPr>
      <w:r>
        <w:rPr>
          <w:rStyle w:val="Strong"/>
          <w:b w:val="0"/>
          <w:bCs w:val="0"/>
        </w:rPr>
        <w:t xml:space="preserve">In the year to 31.03.2022, Trust </w:t>
      </w:r>
      <w:r w:rsidR="00BE5F09">
        <w:rPr>
          <w:rStyle w:val="Strong"/>
          <w:b w:val="0"/>
          <w:bCs w:val="0"/>
        </w:rPr>
        <w:t xml:space="preserve">appointing managers interviewed a total of </w:t>
      </w:r>
      <w:r w:rsidR="009162DE">
        <w:rPr>
          <w:rStyle w:val="Strong"/>
          <w:b w:val="0"/>
          <w:bCs w:val="0"/>
        </w:rPr>
        <w:t>2,809</w:t>
      </w:r>
      <w:r w:rsidR="00BE5F09">
        <w:rPr>
          <w:rStyle w:val="Strong"/>
          <w:b w:val="0"/>
          <w:bCs w:val="0"/>
        </w:rPr>
        <w:t xml:space="preserve"> candidates for employment</w:t>
      </w:r>
      <w:r w:rsidR="009162DE">
        <w:rPr>
          <w:rStyle w:val="Strong"/>
          <w:b w:val="0"/>
          <w:bCs w:val="0"/>
        </w:rPr>
        <w:t xml:space="preserve">, and subsequently appointed </w:t>
      </w:r>
      <w:r w:rsidR="00654636">
        <w:rPr>
          <w:rStyle w:val="Strong"/>
          <w:b w:val="0"/>
          <w:bCs w:val="0"/>
        </w:rPr>
        <w:t xml:space="preserve">747 </w:t>
      </w:r>
      <w:r w:rsidR="009162DE">
        <w:rPr>
          <w:rStyle w:val="Strong"/>
          <w:b w:val="0"/>
          <w:bCs w:val="0"/>
        </w:rPr>
        <w:t>candidates</w:t>
      </w:r>
      <w:r w:rsidR="00654636">
        <w:rPr>
          <w:rStyle w:val="Strong"/>
          <w:b w:val="0"/>
          <w:bCs w:val="0"/>
        </w:rPr>
        <w:t xml:space="preserve"> –</w:t>
      </w:r>
      <w:r w:rsidR="0029693A">
        <w:rPr>
          <w:rStyle w:val="Strong"/>
          <w:b w:val="0"/>
          <w:bCs w:val="0"/>
        </w:rPr>
        <w:t xml:space="preserve"> meaning</w:t>
      </w:r>
      <w:r w:rsidR="00015B2E">
        <w:rPr>
          <w:rStyle w:val="Strong"/>
          <w:b w:val="0"/>
          <w:bCs w:val="0"/>
        </w:rPr>
        <w:t xml:space="preserve"> BEH</w:t>
      </w:r>
      <w:r w:rsidR="0029693A">
        <w:rPr>
          <w:rStyle w:val="Strong"/>
          <w:b w:val="0"/>
          <w:bCs w:val="0"/>
        </w:rPr>
        <w:t xml:space="preserve"> appointed </w:t>
      </w:r>
      <w:r w:rsidR="007073C5">
        <w:rPr>
          <w:rStyle w:val="Strong"/>
          <w:b w:val="0"/>
          <w:bCs w:val="0"/>
        </w:rPr>
        <w:t xml:space="preserve">26.6% </w:t>
      </w:r>
      <w:r w:rsidR="0029693A">
        <w:rPr>
          <w:rStyle w:val="Strong"/>
          <w:b w:val="0"/>
          <w:bCs w:val="0"/>
        </w:rPr>
        <w:t>of all candidates interviewed</w:t>
      </w:r>
      <w:r w:rsidR="009162DE">
        <w:rPr>
          <w:rStyle w:val="Strong"/>
          <w:b w:val="0"/>
          <w:bCs w:val="0"/>
        </w:rPr>
        <w:t>.</w:t>
      </w:r>
      <w:r w:rsidR="005A734E">
        <w:rPr>
          <w:rStyle w:val="Strong"/>
          <w:b w:val="0"/>
          <w:bCs w:val="0"/>
        </w:rPr>
        <w:t xml:space="preserve">  White candidates remain 1.2 times more likely to be appointed than their BAME counterparts.</w:t>
      </w:r>
    </w:p>
    <w:p w14:paraId="479DF383" w14:textId="77777777" w:rsidR="00647C81" w:rsidRPr="005A734E" w:rsidRDefault="00647C81" w:rsidP="005A734E">
      <w:pPr>
        <w:rPr>
          <w:rStyle w:val="Strong"/>
          <w:b w:val="0"/>
          <w:bCs w:val="0"/>
        </w:rPr>
      </w:pPr>
    </w:p>
    <w:tbl>
      <w:tblPr>
        <w:tblStyle w:val="TableGrid"/>
        <w:tblW w:w="0" w:type="auto"/>
        <w:tblLook w:val="04A0" w:firstRow="1" w:lastRow="0" w:firstColumn="1" w:lastColumn="0" w:noHBand="0" w:noVBand="1"/>
      </w:tblPr>
      <w:tblGrid>
        <w:gridCol w:w="2122"/>
        <w:gridCol w:w="1984"/>
        <w:gridCol w:w="2693"/>
        <w:gridCol w:w="2217"/>
      </w:tblGrid>
      <w:tr w:rsidR="00942CCB" w:rsidRPr="00DC6A46" w14:paraId="513891AE" w14:textId="5C1BB649" w:rsidTr="00DE023F">
        <w:tc>
          <w:tcPr>
            <w:tcW w:w="2122" w:type="dxa"/>
            <w:shd w:val="clear" w:color="auto" w:fill="E7E6E6" w:themeFill="background2"/>
          </w:tcPr>
          <w:p w14:paraId="6DBBD730" w14:textId="20A38C3C" w:rsidR="00942CCB" w:rsidRPr="00DC6A46" w:rsidRDefault="00942CCB" w:rsidP="00342DBD">
            <w:pPr>
              <w:rPr>
                <w:rStyle w:val="Strong"/>
              </w:rPr>
            </w:pPr>
            <w:r w:rsidRPr="00DC6A46">
              <w:rPr>
                <w:rStyle w:val="Strong"/>
              </w:rPr>
              <w:t xml:space="preserve">Ethnicity </w:t>
            </w:r>
          </w:p>
        </w:tc>
        <w:tc>
          <w:tcPr>
            <w:tcW w:w="1984" w:type="dxa"/>
            <w:shd w:val="clear" w:color="auto" w:fill="E7E6E6" w:themeFill="background2"/>
          </w:tcPr>
          <w:p w14:paraId="5A3B2E5E" w14:textId="32C44BE9" w:rsidR="00942CCB" w:rsidRPr="00DC6A46" w:rsidRDefault="00942CCB" w:rsidP="00342DBD">
            <w:pPr>
              <w:rPr>
                <w:rStyle w:val="Strong"/>
              </w:rPr>
            </w:pPr>
            <w:r w:rsidRPr="00DC6A46">
              <w:rPr>
                <w:rStyle w:val="Strong"/>
              </w:rPr>
              <w:t xml:space="preserve">Actual numbers of candidates interviewed </w:t>
            </w:r>
            <w:r w:rsidR="00DB1A03" w:rsidRPr="00DC6A46">
              <w:rPr>
                <w:rStyle w:val="Strong"/>
                <w:i/>
                <w:iCs/>
              </w:rPr>
              <w:t>n=</w:t>
            </w:r>
          </w:p>
        </w:tc>
        <w:tc>
          <w:tcPr>
            <w:tcW w:w="2693" w:type="dxa"/>
            <w:shd w:val="clear" w:color="auto" w:fill="E7E6E6" w:themeFill="background2"/>
          </w:tcPr>
          <w:p w14:paraId="2B6EB593" w14:textId="4831E982" w:rsidR="00942CCB" w:rsidRPr="00DC6A46" w:rsidRDefault="00942CCB" w:rsidP="00342DBD">
            <w:pPr>
              <w:rPr>
                <w:rStyle w:val="Strong"/>
              </w:rPr>
            </w:pPr>
            <w:r w:rsidRPr="00DC6A46">
              <w:rPr>
                <w:rStyle w:val="Strong"/>
              </w:rPr>
              <w:t>Percentage of candidates who were subsequently employed</w:t>
            </w:r>
          </w:p>
        </w:tc>
        <w:tc>
          <w:tcPr>
            <w:tcW w:w="2217" w:type="dxa"/>
            <w:shd w:val="clear" w:color="auto" w:fill="E7E6E6" w:themeFill="background2"/>
          </w:tcPr>
          <w:p w14:paraId="2E2CE669" w14:textId="3158201F" w:rsidR="00942CCB" w:rsidRPr="00DC6A46" w:rsidRDefault="00942CCB" w:rsidP="00342DBD">
            <w:pPr>
              <w:rPr>
                <w:rStyle w:val="Strong"/>
              </w:rPr>
            </w:pPr>
            <w:r w:rsidRPr="00DC6A46">
              <w:rPr>
                <w:rStyle w:val="Strong"/>
              </w:rPr>
              <w:t>Actual numbers of candidates who were subsequently employed</w:t>
            </w:r>
            <w:r w:rsidR="00DB1A03" w:rsidRPr="00DC6A46">
              <w:rPr>
                <w:rStyle w:val="Strong"/>
              </w:rPr>
              <w:t xml:space="preserve"> </w:t>
            </w:r>
            <w:r w:rsidR="00DB1A03" w:rsidRPr="00DC6A46">
              <w:rPr>
                <w:rStyle w:val="Strong"/>
                <w:i/>
                <w:iCs/>
              </w:rPr>
              <w:t>n=</w:t>
            </w:r>
            <w:r w:rsidR="00DB1A03" w:rsidRPr="00DC6A46">
              <w:rPr>
                <w:rStyle w:val="Strong"/>
              </w:rPr>
              <w:t xml:space="preserve"> </w:t>
            </w:r>
          </w:p>
        </w:tc>
      </w:tr>
      <w:tr w:rsidR="00942CCB" w14:paraId="51A9EC25" w14:textId="50A98020" w:rsidTr="00DE023F">
        <w:tc>
          <w:tcPr>
            <w:tcW w:w="2122" w:type="dxa"/>
          </w:tcPr>
          <w:p w14:paraId="2F14D08F" w14:textId="4BF6DD8C" w:rsidR="00942CCB" w:rsidRDefault="00F25DEE" w:rsidP="00342DBD">
            <w:pPr>
              <w:rPr>
                <w:rStyle w:val="Strong"/>
                <w:b w:val="0"/>
                <w:bCs w:val="0"/>
              </w:rPr>
            </w:pPr>
            <w:r>
              <w:rPr>
                <w:rStyle w:val="Strong"/>
                <w:b w:val="0"/>
                <w:bCs w:val="0"/>
              </w:rPr>
              <w:t xml:space="preserve">White </w:t>
            </w:r>
            <w:r w:rsidR="00942CCB">
              <w:rPr>
                <w:rStyle w:val="Strong"/>
                <w:b w:val="0"/>
                <w:bCs w:val="0"/>
              </w:rPr>
              <w:t xml:space="preserve">candidates </w:t>
            </w:r>
          </w:p>
        </w:tc>
        <w:tc>
          <w:tcPr>
            <w:tcW w:w="1984" w:type="dxa"/>
          </w:tcPr>
          <w:p w14:paraId="4C91B8B2" w14:textId="58D3580E" w:rsidR="00942CCB" w:rsidRDefault="00942CCB" w:rsidP="00DC6A46">
            <w:pPr>
              <w:jc w:val="center"/>
              <w:rPr>
                <w:rStyle w:val="Strong"/>
                <w:b w:val="0"/>
                <w:bCs w:val="0"/>
              </w:rPr>
            </w:pPr>
            <w:r>
              <w:rPr>
                <w:rStyle w:val="Strong"/>
                <w:b w:val="0"/>
                <w:bCs w:val="0"/>
              </w:rPr>
              <w:t>934</w:t>
            </w:r>
          </w:p>
        </w:tc>
        <w:tc>
          <w:tcPr>
            <w:tcW w:w="2693" w:type="dxa"/>
          </w:tcPr>
          <w:p w14:paraId="0D675EBB" w14:textId="2D30C456" w:rsidR="00942CCB" w:rsidRDefault="00942CCB" w:rsidP="00DC6A46">
            <w:pPr>
              <w:jc w:val="center"/>
              <w:rPr>
                <w:rStyle w:val="Strong"/>
                <w:b w:val="0"/>
                <w:bCs w:val="0"/>
              </w:rPr>
            </w:pPr>
            <w:r>
              <w:rPr>
                <w:rStyle w:val="Strong"/>
                <w:b w:val="0"/>
                <w:bCs w:val="0"/>
              </w:rPr>
              <w:t>28.37%</w:t>
            </w:r>
          </w:p>
        </w:tc>
        <w:tc>
          <w:tcPr>
            <w:tcW w:w="2217" w:type="dxa"/>
          </w:tcPr>
          <w:p w14:paraId="11A52637" w14:textId="12DCF5F5" w:rsidR="00942CCB" w:rsidRDefault="00DB1A03" w:rsidP="00DC6A46">
            <w:pPr>
              <w:jc w:val="center"/>
              <w:rPr>
                <w:rStyle w:val="Strong"/>
                <w:b w:val="0"/>
                <w:bCs w:val="0"/>
              </w:rPr>
            </w:pPr>
            <w:r>
              <w:rPr>
                <w:rStyle w:val="Strong"/>
                <w:b w:val="0"/>
                <w:bCs w:val="0"/>
              </w:rPr>
              <w:t>265</w:t>
            </w:r>
          </w:p>
        </w:tc>
      </w:tr>
      <w:tr w:rsidR="00942CCB" w14:paraId="0558D706" w14:textId="49BC10F4" w:rsidTr="00DE023F">
        <w:tc>
          <w:tcPr>
            <w:tcW w:w="2122" w:type="dxa"/>
          </w:tcPr>
          <w:p w14:paraId="7ED53AD4" w14:textId="61E8E82F" w:rsidR="00942CCB" w:rsidRDefault="00F25DEE" w:rsidP="00342DBD">
            <w:pPr>
              <w:rPr>
                <w:rStyle w:val="Strong"/>
                <w:b w:val="0"/>
                <w:bCs w:val="0"/>
              </w:rPr>
            </w:pPr>
            <w:r>
              <w:rPr>
                <w:rStyle w:val="Strong"/>
                <w:b w:val="0"/>
                <w:bCs w:val="0"/>
              </w:rPr>
              <w:lastRenderedPageBreak/>
              <w:t xml:space="preserve">BAME </w:t>
            </w:r>
            <w:r w:rsidR="00942CCB">
              <w:rPr>
                <w:rStyle w:val="Strong"/>
                <w:b w:val="0"/>
                <w:bCs w:val="0"/>
              </w:rPr>
              <w:t xml:space="preserve">candidates </w:t>
            </w:r>
          </w:p>
        </w:tc>
        <w:tc>
          <w:tcPr>
            <w:tcW w:w="1984" w:type="dxa"/>
          </w:tcPr>
          <w:p w14:paraId="553ECCBA" w14:textId="7FDF30A1" w:rsidR="00942CCB" w:rsidRDefault="00942CCB" w:rsidP="00DC6A46">
            <w:pPr>
              <w:jc w:val="center"/>
              <w:rPr>
                <w:rStyle w:val="Strong"/>
                <w:b w:val="0"/>
                <w:bCs w:val="0"/>
              </w:rPr>
            </w:pPr>
            <w:r>
              <w:rPr>
                <w:rStyle w:val="Strong"/>
                <w:b w:val="0"/>
                <w:bCs w:val="0"/>
              </w:rPr>
              <w:t>1,718</w:t>
            </w:r>
          </w:p>
        </w:tc>
        <w:tc>
          <w:tcPr>
            <w:tcW w:w="2693" w:type="dxa"/>
          </w:tcPr>
          <w:p w14:paraId="6540E332" w14:textId="6E86FD5F" w:rsidR="00942CCB" w:rsidRDefault="00942CCB" w:rsidP="00DC6A46">
            <w:pPr>
              <w:jc w:val="center"/>
              <w:rPr>
                <w:rStyle w:val="Strong"/>
                <w:b w:val="0"/>
                <w:bCs w:val="0"/>
              </w:rPr>
            </w:pPr>
            <w:r>
              <w:rPr>
                <w:rStyle w:val="Strong"/>
                <w:b w:val="0"/>
                <w:bCs w:val="0"/>
              </w:rPr>
              <w:t>23.69%</w:t>
            </w:r>
          </w:p>
        </w:tc>
        <w:tc>
          <w:tcPr>
            <w:tcW w:w="2217" w:type="dxa"/>
          </w:tcPr>
          <w:p w14:paraId="4EE32F8A" w14:textId="417F3BFE" w:rsidR="00942CCB" w:rsidRDefault="006E2F11" w:rsidP="00DC6A46">
            <w:pPr>
              <w:jc w:val="center"/>
              <w:rPr>
                <w:rStyle w:val="Strong"/>
                <w:b w:val="0"/>
                <w:bCs w:val="0"/>
              </w:rPr>
            </w:pPr>
            <w:r>
              <w:rPr>
                <w:rStyle w:val="Strong"/>
                <w:b w:val="0"/>
                <w:bCs w:val="0"/>
              </w:rPr>
              <w:t>407</w:t>
            </w:r>
          </w:p>
        </w:tc>
      </w:tr>
      <w:tr w:rsidR="00942CCB" w14:paraId="76F8B9FE" w14:textId="7C28BA78" w:rsidTr="00DE023F">
        <w:tc>
          <w:tcPr>
            <w:tcW w:w="2122" w:type="dxa"/>
          </w:tcPr>
          <w:p w14:paraId="3C3DBD33" w14:textId="6B0CCEAE" w:rsidR="00942CCB" w:rsidRDefault="00942CCB" w:rsidP="00342DBD">
            <w:pPr>
              <w:rPr>
                <w:rStyle w:val="Strong"/>
                <w:b w:val="0"/>
                <w:bCs w:val="0"/>
              </w:rPr>
            </w:pPr>
            <w:r>
              <w:rPr>
                <w:rStyle w:val="Strong"/>
                <w:b w:val="0"/>
                <w:bCs w:val="0"/>
              </w:rPr>
              <w:t xml:space="preserve">Candidates with ethnicity not known </w:t>
            </w:r>
          </w:p>
        </w:tc>
        <w:tc>
          <w:tcPr>
            <w:tcW w:w="1984" w:type="dxa"/>
          </w:tcPr>
          <w:p w14:paraId="279013F6" w14:textId="2C00198B" w:rsidR="00942CCB" w:rsidRDefault="00942CCB" w:rsidP="00DC6A46">
            <w:pPr>
              <w:jc w:val="center"/>
              <w:rPr>
                <w:rStyle w:val="Strong"/>
                <w:b w:val="0"/>
                <w:bCs w:val="0"/>
              </w:rPr>
            </w:pPr>
            <w:r>
              <w:rPr>
                <w:rStyle w:val="Strong"/>
                <w:b w:val="0"/>
                <w:bCs w:val="0"/>
              </w:rPr>
              <w:t>157</w:t>
            </w:r>
          </w:p>
        </w:tc>
        <w:tc>
          <w:tcPr>
            <w:tcW w:w="2693" w:type="dxa"/>
          </w:tcPr>
          <w:p w14:paraId="5D5A9450" w14:textId="6FBC221F" w:rsidR="00942CCB" w:rsidRDefault="00942CCB" w:rsidP="00DC6A46">
            <w:pPr>
              <w:jc w:val="center"/>
              <w:rPr>
                <w:rStyle w:val="Strong"/>
                <w:b w:val="0"/>
                <w:bCs w:val="0"/>
              </w:rPr>
            </w:pPr>
            <w:r>
              <w:rPr>
                <w:rStyle w:val="Strong"/>
                <w:b w:val="0"/>
                <w:bCs w:val="0"/>
              </w:rPr>
              <w:t>47.77%</w:t>
            </w:r>
          </w:p>
        </w:tc>
        <w:tc>
          <w:tcPr>
            <w:tcW w:w="2217" w:type="dxa"/>
          </w:tcPr>
          <w:p w14:paraId="4186961D" w14:textId="6B226651" w:rsidR="00942CCB" w:rsidRDefault="006E2F11" w:rsidP="00DC6A46">
            <w:pPr>
              <w:jc w:val="center"/>
              <w:rPr>
                <w:rStyle w:val="Strong"/>
                <w:b w:val="0"/>
                <w:bCs w:val="0"/>
              </w:rPr>
            </w:pPr>
            <w:r>
              <w:rPr>
                <w:rStyle w:val="Strong"/>
                <w:b w:val="0"/>
                <w:bCs w:val="0"/>
              </w:rPr>
              <w:t>75</w:t>
            </w:r>
          </w:p>
        </w:tc>
      </w:tr>
      <w:tr w:rsidR="00DC23AB" w:rsidRPr="00DC6A46" w14:paraId="38EA7278" w14:textId="77777777" w:rsidTr="00DE023F">
        <w:tc>
          <w:tcPr>
            <w:tcW w:w="6799" w:type="dxa"/>
            <w:gridSpan w:val="3"/>
          </w:tcPr>
          <w:p w14:paraId="371BA226" w14:textId="6E624BD6" w:rsidR="00DC23AB" w:rsidRPr="00DC6A46" w:rsidRDefault="00DC23AB" w:rsidP="00342DBD">
            <w:pPr>
              <w:rPr>
                <w:rStyle w:val="Strong"/>
              </w:rPr>
            </w:pPr>
            <w:r w:rsidRPr="00DC6A46">
              <w:rPr>
                <w:rStyle w:val="Strong"/>
              </w:rPr>
              <w:t xml:space="preserve">Relative likelihood of the appointment of candidates from </w:t>
            </w:r>
            <w:r w:rsidR="007D6DB6">
              <w:rPr>
                <w:rStyle w:val="Strong"/>
              </w:rPr>
              <w:t>white</w:t>
            </w:r>
            <w:r w:rsidRPr="00DC6A46">
              <w:rPr>
                <w:rStyle w:val="Strong"/>
              </w:rPr>
              <w:t xml:space="preserve"> communities </w:t>
            </w:r>
          </w:p>
        </w:tc>
        <w:tc>
          <w:tcPr>
            <w:tcW w:w="2217" w:type="dxa"/>
            <w:vAlign w:val="center"/>
          </w:tcPr>
          <w:p w14:paraId="3A2858FB" w14:textId="767CC5FB" w:rsidR="00DC23AB" w:rsidRPr="00F55653" w:rsidRDefault="00DC23AB" w:rsidP="00DE023F">
            <w:pPr>
              <w:jc w:val="center"/>
              <w:rPr>
                <w:rStyle w:val="Strong"/>
              </w:rPr>
            </w:pPr>
            <w:r w:rsidRPr="00F55653">
              <w:rPr>
                <w:rStyle w:val="Strong"/>
              </w:rPr>
              <w:t>1.2</w:t>
            </w:r>
          </w:p>
        </w:tc>
      </w:tr>
      <w:tr w:rsidR="0097383D" w:rsidRPr="00DC6A46" w14:paraId="06DD6D3C" w14:textId="77777777" w:rsidTr="00DE023F">
        <w:tc>
          <w:tcPr>
            <w:tcW w:w="6799" w:type="dxa"/>
            <w:gridSpan w:val="3"/>
          </w:tcPr>
          <w:p w14:paraId="78C39B93" w14:textId="1FA68E57" w:rsidR="0097383D" w:rsidRPr="00DC6A46" w:rsidRDefault="00E2124A" w:rsidP="00342DBD">
            <w:pPr>
              <w:rPr>
                <w:rStyle w:val="Strong"/>
              </w:rPr>
            </w:pPr>
            <w:r>
              <w:rPr>
                <w:rStyle w:val="Strong"/>
              </w:rPr>
              <w:t>For information: c</w:t>
            </w:r>
            <w:r w:rsidR="0097383D">
              <w:rPr>
                <w:rStyle w:val="Strong"/>
              </w:rPr>
              <w:t xml:space="preserve">omparison relative likelihood of the appointment of candidates from </w:t>
            </w:r>
            <w:r w:rsidR="007D6DB6">
              <w:rPr>
                <w:rStyle w:val="Strong"/>
              </w:rPr>
              <w:t>white</w:t>
            </w:r>
            <w:r w:rsidR="0097383D">
              <w:rPr>
                <w:rStyle w:val="Strong"/>
              </w:rPr>
              <w:t xml:space="preserve"> communities – London </w:t>
            </w:r>
            <w:r w:rsidR="00C735E5">
              <w:rPr>
                <w:rStyle w:val="Strong"/>
              </w:rPr>
              <w:t xml:space="preserve">Trust </w:t>
            </w:r>
            <w:r w:rsidR="0097383D">
              <w:rPr>
                <w:rStyle w:val="Strong"/>
              </w:rPr>
              <w:t xml:space="preserve">average </w:t>
            </w:r>
            <w:r w:rsidR="00C735E5">
              <w:rPr>
                <w:rStyle w:val="Strong"/>
              </w:rPr>
              <w:t>(</w:t>
            </w:r>
            <w:r w:rsidR="0097383D">
              <w:rPr>
                <w:rStyle w:val="Strong"/>
              </w:rPr>
              <w:t>2021</w:t>
            </w:r>
            <w:r w:rsidR="00C735E5">
              <w:rPr>
                <w:rStyle w:val="Strong"/>
              </w:rPr>
              <w:t>)</w:t>
            </w:r>
          </w:p>
        </w:tc>
        <w:tc>
          <w:tcPr>
            <w:tcW w:w="2217" w:type="dxa"/>
            <w:vAlign w:val="center"/>
          </w:tcPr>
          <w:p w14:paraId="0334423A" w14:textId="087511EF" w:rsidR="0097383D" w:rsidRPr="00F55653" w:rsidRDefault="0097383D" w:rsidP="00DE023F">
            <w:pPr>
              <w:jc w:val="center"/>
              <w:rPr>
                <w:rStyle w:val="Strong"/>
              </w:rPr>
            </w:pPr>
            <w:r w:rsidRPr="00F55653">
              <w:rPr>
                <w:rStyle w:val="Strong"/>
              </w:rPr>
              <w:t>1.64</w:t>
            </w:r>
          </w:p>
        </w:tc>
      </w:tr>
    </w:tbl>
    <w:p w14:paraId="732F5A7E" w14:textId="090981CC" w:rsidR="007C244D" w:rsidRDefault="007C244D" w:rsidP="00342DBD">
      <w:pPr>
        <w:rPr>
          <w:rStyle w:val="Strong"/>
          <w:b w:val="0"/>
          <w:bCs w:val="0"/>
        </w:rPr>
      </w:pPr>
    </w:p>
    <w:p w14:paraId="2498EAD7" w14:textId="04454E1D" w:rsidR="00C74B20" w:rsidRPr="00C3006C" w:rsidRDefault="00005D56" w:rsidP="00C3006C">
      <w:pPr>
        <w:pStyle w:val="Heading2"/>
        <w:rPr>
          <w:rStyle w:val="Strong"/>
        </w:rPr>
      </w:pPr>
      <w:bookmarkStart w:id="3" w:name="_Toc107844774"/>
      <w:r w:rsidRPr="00505382">
        <w:rPr>
          <w:rStyle w:val="Strong"/>
        </w:rPr>
        <w:t xml:space="preserve">Summary </w:t>
      </w:r>
      <w:bookmarkEnd w:id="3"/>
    </w:p>
    <w:p w14:paraId="6EE94168" w14:textId="5DA87F53" w:rsidR="00B21BDB" w:rsidRPr="00C3006C" w:rsidRDefault="00B00B9B" w:rsidP="00C3006C">
      <w:pPr>
        <w:rPr>
          <w:rStyle w:val="Strong"/>
          <w:b w:val="0"/>
          <w:bCs w:val="0"/>
        </w:rPr>
      </w:pPr>
      <w:r w:rsidRPr="00C3006C">
        <w:rPr>
          <w:rStyle w:val="Strong"/>
          <w:b w:val="0"/>
          <w:bCs w:val="0"/>
        </w:rPr>
        <w:t xml:space="preserve">Whilst BEH appoints 26.6% of candidates overall, only 23.69% of candidates from BAME communities are appointed.  </w:t>
      </w:r>
      <w:r w:rsidRPr="009134B2">
        <w:rPr>
          <w:rStyle w:val="Strong"/>
        </w:rPr>
        <w:t>This is a differential experience of 2.91 percentage points</w:t>
      </w:r>
      <w:r>
        <w:rPr>
          <w:rStyle w:val="Strong"/>
        </w:rPr>
        <w:t xml:space="preserve"> for those who disclose</w:t>
      </w:r>
      <w:r w:rsidR="00E921E4">
        <w:rPr>
          <w:rStyle w:val="Strong"/>
        </w:rPr>
        <w:t xml:space="preserve"> minority</w:t>
      </w:r>
      <w:r>
        <w:rPr>
          <w:rStyle w:val="Strong"/>
        </w:rPr>
        <w:t xml:space="preserve"> ethnicity</w:t>
      </w:r>
      <w:r w:rsidRPr="009134B2">
        <w:rPr>
          <w:rStyle w:val="Strong"/>
        </w:rPr>
        <w:t>.</w:t>
      </w:r>
      <w:r w:rsidR="00C3006C">
        <w:rPr>
          <w:rStyle w:val="Strong"/>
          <w:b w:val="0"/>
          <w:bCs w:val="0"/>
        </w:rPr>
        <w:t xml:space="preserve">  However, </w:t>
      </w:r>
      <w:r w:rsidR="005A734E" w:rsidRPr="00C3006C">
        <w:rPr>
          <w:rStyle w:val="Strong"/>
          <w:b w:val="0"/>
          <w:bCs w:val="0"/>
        </w:rPr>
        <w:t>BEH has made improvements to its appointment relative likelihood figure on last year (1.25)</w:t>
      </w:r>
      <w:r w:rsidR="00C3006C">
        <w:rPr>
          <w:rStyle w:val="Strong"/>
          <w:b w:val="0"/>
          <w:bCs w:val="0"/>
        </w:rPr>
        <w:t xml:space="preserve"> and the trend is going in the right direction.</w:t>
      </w:r>
      <w:r w:rsidR="005A734E" w:rsidRPr="00C3006C">
        <w:rPr>
          <w:rStyle w:val="Strong"/>
          <w:b w:val="0"/>
          <w:bCs w:val="0"/>
        </w:rPr>
        <w:t xml:space="preserve"> </w:t>
      </w:r>
      <w:r w:rsidR="003D5904">
        <w:rPr>
          <w:rStyle w:val="Strong"/>
          <w:b w:val="0"/>
          <w:bCs w:val="0"/>
        </w:rPr>
        <w:t xml:space="preserve"> This is anticipated to continue with the Trust’s new training, Recruiting for Values, gaining traction, and the strict rule around ethnically diverse recruitment panels for roles at 8a and above. </w:t>
      </w:r>
    </w:p>
    <w:p w14:paraId="70E2CD15" w14:textId="197319B6" w:rsidR="00505382" w:rsidRPr="006A7C30" w:rsidRDefault="00505382" w:rsidP="001A2FD7">
      <w:pPr>
        <w:pStyle w:val="Heading1"/>
        <w:rPr>
          <w:rStyle w:val="Strong"/>
          <w:b/>
          <w:bCs w:val="0"/>
          <w:color w:val="70AD47" w:themeColor="accent6"/>
        </w:rPr>
      </w:pPr>
      <w:bookmarkStart w:id="4" w:name="_Toc107844775"/>
      <w:r w:rsidRPr="006A7C30">
        <w:rPr>
          <w:rStyle w:val="Strong"/>
          <w:b/>
          <w:bCs w:val="0"/>
          <w:color w:val="70AD47" w:themeColor="accent6"/>
        </w:rPr>
        <w:t xml:space="preserve">Indicator 3 – relative likelihood of staff from BAME communities entering the formal disciplinary process, compared to </w:t>
      </w:r>
      <w:r w:rsidR="00B10D82" w:rsidRPr="006A7C30">
        <w:rPr>
          <w:rStyle w:val="Strong"/>
          <w:b/>
          <w:bCs w:val="0"/>
          <w:color w:val="70AD47" w:themeColor="accent6"/>
        </w:rPr>
        <w:t>that</w:t>
      </w:r>
      <w:r w:rsidRPr="006A7C30">
        <w:rPr>
          <w:rStyle w:val="Strong"/>
          <w:b/>
          <w:bCs w:val="0"/>
          <w:color w:val="70AD47" w:themeColor="accent6"/>
        </w:rPr>
        <w:t xml:space="preserve"> of staff from white communities</w:t>
      </w:r>
      <w:bookmarkEnd w:id="4"/>
      <w:r w:rsidRPr="006A7C30">
        <w:rPr>
          <w:rStyle w:val="Strong"/>
          <w:b/>
          <w:bCs w:val="0"/>
          <w:color w:val="70AD47" w:themeColor="accent6"/>
        </w:rPr>
        <w:t xml:space="preserve"> </w:t>
      </w:r>
    </w:p>
    <w:p w14:paraId="6D7365A2" w14:textId="77777777" w:rsidR="00EE5FE5" w:rsidRPr="00505382" w:rsidRDefault="00EE5FE5" w:rsidP="0065448E">
      <w:pPr>
        <w:rPr>
          <w:rStyle w:val="Strong"/>
        </w:rPr>
      </w:pPr>
    </w:p>
    <w:p w14:paraId="3B53B2E5" w14:textId="296DE408" w:rsidR="000310D7" w:rsidRDefault="00505382" w:rsidP="00342DBD">
      <w:pPr>
        <w:rPr>
          <w:rStyle w:val="Strong"/>
          <w:b w:val="0"/>
          <w:bCs w:val="0"/>
        </w:rPr>
      </w:pPr>
      <w:r>
        <w:rPr>
          <w:rStyle w:val="Strong"/>
          <w:b w:val="0"/>
          <w:bCs w:val="0"/>
        </w:rPr>
        <w:t xml:space="preserve">People from BAME communities more likely to be </w:t>
      </w:r>
      <w:r w:rsidR="005A734E">
        <w:rPr>
          <w:rStyle w:val="Strong"/>
          <w:b w:val="0"/>
          <w:bCs w:val="0"/>
        </w:rPr>
        <w:t xml:space="preserve">formally </w:t>
      </w:r>
      <w:r>
        <w:rPr>
          <w:rStyle w:val="Strong"/>
          <w:b w:val="0"/>
          <w:bCs w:val="0"/>
        </w:rPr>
        <w:t xml:space="preserve">disciplined than their white counterparts. </w:t>
      </w:r>
      <w:r w:rsidR="005A734E">
        <w:rPr>
          <w:rStyle w:val="Strong"/>
          <w:b w:val="0"/>
          <w:bCs w:val="0"/>
        </w:rPr>
        <w:t xml:space="preserve">In effect, this means they are at higher risk of losing their job.  </w:t>
      </w:r>
      <w:r>
        <w:rPr>
          <w:rStyle w:val="Strong"/>
          <w:b w:val="0"/>
          <w:bCs w:val="0"/>
        </w:rPr>
        <w:t>BEH’s submission for 202</w:t>
      </w:r>
      <w:r w:rsidR="003D2E68">
        <w:rPr>
          <w:rStyle w:val="Strong"/>
          <w:b w:val="0"/>
          <w:bCs w:val="0"/>
        </w:rPr>
        <w:t>0/21 was a relative likelihood for BAME staff of 5.48</w:t>
      </w:r>
      <w:r w:rsidR="005A734E">
        <w:rPr>
          <w:rStyle w:val="Strong"/>
          <w:b w:val="0"/>
          <w:bCs w:val="0"/>
        </w:rPr>
        <w:t>.</w:t>
      </w:r>
      <w:r w:rsidR="003D2E68">
        <w:rPr>
          <w:rStyle w:val="Strong"/>
          <w:b w:val="0"/>
          <w:bCs w:val="0"/>
        </w:rPr>
        <w:t xml:space="preserve">  Numbers were small</w:t>
      </w:r>
      <w:r w:rsidR="00371566">
        <w:rPr>
          <w:rStyle w:val="Strong"/>
          <w:b w:val="0"/>
          <w:bCs w:val="0"/>
        </w:rPr>
        <w:t>,</w:t>
      </w:r>
      <w:r w:rsidR="003D2E68">
        <w:rPr>
          <w:rStyle w:val="Strong"/>
          <w:b w:val="0"/>
          <w:bCs w:val="0"/>
        </w:rPr>
        <w:t xml:space="preserve"> however</w:t>
      </w:r>
      <w:r w:rsidR="005A734E">
        <w:rPr>
          <w:rStyle w:val="Strong"/>
          <w:b w:val="0"/>
          <w:bCs w:val="0"/>
        </w:rPr>
        <w:t xml:space="preserve">, and </w:t>
      </w:r>
      <w:r w:rsidR="003D2E68">
        <w:rPr>
          <w:rStyle w:val="Strong"/>
          <w:b w:val="0"/>
          <w:bCs w:val="0"/>
        </w:rPr>
        <w:t xml:space="preserve">the score </w:t>
      </w:r>
      <w:r w:rsidR="00371566">
        <w:rPr>
          <w:rStyle w:val="Strong"/>
          <w:b w:val="0"/>
          <w:bCs w:val="0"/>
        </w:rPr>
        <w:t>has driven</w:t>
      </w:r>
      <w:r w:rsidR="003D2E68">
        <w:rPr>
          <w:rStyle w:val="Strong"/>
          <w:b w:val="0"/>
          <w:bCs w:val="0"/>
        </w:rPr>
        <w:t xml:space="preserve"> much work </w:t>
      </w:r>
      <w:r w:rsidR="00371566">
        <w:rPr>
          <w:rStyle w:val="Strong"/>
          <w:b w:val="0"/>
          <w:bCs w:val="0"/>
        </w:rPr>
        <w:t xml:space="preserve">with </w:t>
      </w:r>
      <w:r w:rsidR="003D2E68">
        <w:rPr>
          <w:rStyle w:val="Strong"/>
          <w:b w:val="0"/>
          <w:bCs w:val="0"/>
        </w:rPr>
        <w:t>HR colleagues and operational managers to counter this inequity</w:t>
      </w:r>
      <w:r w:rsidR="005A734E">
        <w:rPr>
          <w:rStyle w:val="Strong"/>
          <w:b w:val="0"/>
          <w:bCs w:val="0"/>
        </w:rPr>
        <w:t>, and we now have a likelihood figure for current year of 2.46.</w:t>
      </w:r>
    </w:p>
    <w:p w14:paraId="1FE48BF0" w14:textId="77777777" w:rsidR="005A734E" w:rsidRDefault="005A734E" w:rsidP="00342DBD">
      <w:pPr>
        <w:rPr>
          <w:rStyle w:val="Strong"/>
          <w:b w:val="0"/>
          <w:bCs w:val="0"/>
        </w:rPr>
      </w:pPr>
    </w:p>
    <w:tbl>
      <w:tblPr>
        <w:tblStyle w:val="TableGrid"/>
        <w:tblW w:w="0" w:type="auto"/>
        <w:tblLook w:val="04A0" w:firstRow="1" w:lastRow="0" w:firstColumn="1" w:lastColumn="0" w:noHBand="0" w:noVBand="1"/>
      </w:tblPr>
      <w:tblGrid>
        <w:gridCol w:w="2122"/>
        <w:gridCol w:w="1984"/>
        <w:gridCol w:w="2693"/>
        <w:gridCol w:w="2217"/>
      </w:tblGrid>
      <w:tr w:rsidR="005A3184" w:rsidRPr="00DC6A46" w14:paraId="5B2E97EB" w14:textId="77777777" w:rsidTr="00FB01F8">
        <w:tc>
          <w:tcPr>
            <w:tcW w:w="2122" w:type="dxa"/>
            <w:shd w:val="clear" w:color="auto" w:fill="E7E6E6" w:themeFill="background2"/>
          </w:tcPr>
          <w:p w14:paraId="5569606B" w14:textId="77777777" w:rsidR="005A3184" w:rsidRPr="00DC6A46" w:rsidRDefault="005A3184" w:rsidP="00FB01F8">
            <w:pPr>
              <w:rPr>
                <w:rStyle w:val="Strong"/>
              </w:rPr>
            </w:pPr>
            <w:r w:rsidRPr="00DC6A46">
              <w:rPr>
                <w:rStyle w:val="Strong"/>
              </w:rPr>
              <w:t xml:space="preserve">Ethnicity </w:t>
            </w:r>
          </w:p>
        </w:tc>
        <w:tc>
          <w:tcPr>
            <w:tcW w:w="1984" w:type="dxa"/>
            <w:shd w:val="clear" w:color="auto" w:fill="E7E6E6" w:themeFill="background2"/>
          </w:tcPr>
          <w:p w14:paraId="46A4BC57" w14:textId="7E844DC2" w:rsidR="005A3184" w:rsidRPr="00DC6A46" w:rsidRDefault="005A3184" w:rsidP="00FB01F8">
            <w:pPr>
              <w:rPr>
                <w:rStyle w:val="Strong"/>
              </w:rPr>
            </w:pPr>
            <w:r w:rsidRPr="00DC6A46">
              <w:rPr>
                <w:rStyle w:val="Strong"/>
              </w:rPr>
              <w:t xml:space="preserve">Actual </w:t>
            </w:r>
            <w:proofErr w:type="gramStart"/>
            <w:r w:rsidRPr="00DC6A46">
              <w:rPr>
                <w:rStyle w:val="Strong"/>
              </w:rPr>
              <w:t>numbers</w:t>
            </w:r>
            <w:proofErr w:type="gramEnd"/>
            <w:r w:rsidRPr="00DC6A46">
              <w:rPr>
                <w:rStyle w:val="Strong"/>
              </w:rPr>
              <w:t xml:space="preserve"> </w:t>
            </w:r>
            <w:r>
              <w:rPr>
                <w:rStyle w:val="Strong"/>
              </w:rPr>
              <w:t xml:space="preserve">staff </w:t>
            </w:r>
            <w:r w:rsidRPr="005A3184">
              <w:rPr>
                <w:rStyle w:val="Strong"/>
                <w:i/>
                <w:iCs/>
              </w:rPr>
              <w:t>n=</w:t>
            </w:r>
            <w:r>
              <w:rPr>
                <w:rStyle w:val="Strong"/>
              </w:rPr>
              <w:t xml:space="preserve"> </w:t>
            </w:r>
          </w:p>
        </w:tc>
        <w:tc>
          <w:tcPr>
            <w:tcW w:w="2693" w:type="dxa"/>
            <w:shd w:val="clear" w:color="auto" w:fill="E7E6E6" w:themeFill="background2"/>
          </w:tcPr>
          <w:p w14:paraId="38DA3CC8" w14:textId="3EA6A934" w:rsidR="005A3184" w:rsidRPr="00DC6A46" w:rsidRDefault="000C0512" w:rsidP="00FB01F8">
            <w:pPr>
              <w:rPr>
                <w:rStyle w:val="Strong"/>
              </w:rPr>
            </w:pPr>
            <w:r>
              <w:rPr>
                <w:rStyle w:val="Strong"/>
              </w:rPr>
              <w:t xml:space="preserve">Actual numbers of staff </w:t>
            </w:r>
            <w:r w:rsidR="00B76189">
              <w:rPr>
                <w:rStyle w:val="Strong"/>
              </w:rPr>
              <w:t>entering</w:t>
            </w:r>
            <w:r>
              <w:rPr>
                <w:rStyle w:val="Strong"/>
              </w:rPr>
              <w:t xml:space="preserve"> formal disciplinary process </w:t>
            </w:r>
            <w:r w:rsidRPr="000C0512">
              <w:rPr>
                <w:rStyle w:val="Strong"/>
                <w:i/>
                <w:iCs/>
              </w:rPr>
              <w:t>n=</w:t>
            </w:r>
          </w:p>
        </w:tc>
        <w:tc>
          <w:tcPr>
            <w:tcW w:w="2217" w:type="dxa"/>
            <w:shd w:val="clear" w:color="auto" w:fill="E7E6E6" w:themeFill="background2"/>
          </w:tcPr>
          <w:p w14:paraId="275AA311" w14:textId="2F1610B7" w:rsidR="005A3184" w:rsidRPr="00DC6A46" w:rsidRDefault="000C0512" w:rsidP="00FB01F8">
            <w:pPr>
              <w:rPr>
                <w:rStyle w:val="Strong"/>
              </w:rPr>
            </w:pPr>
            <w:r>
              <w:rPr>
                <w:rStyle w:val="Strong"/>
              </w:rPr>
              <w:t xml:space="preserve">Relative likelihood of </w:t>
            </w:r>
            <w:r w:rsidR="00B76189">
              <w:rPr>
                <w:rStyle w:val="Strong"/>
              </w:rPr>
              <w:t>entering formal disciplinary process</w:t>
            </w:r>
            <w:r w:rsidR="005A3184" w:rsidRPr="00DC6A46">
              <w:rPr>
                <w:rStyle w:val="Strong"/>
              </w:rPr>
              <w:t xml:space="preserve"> </w:t>
            </w:r>
          </w:p>
        </w:tc>
      </w:tr>
      <w:tr w:rsidR="005A3184" w14:paraId="04607C13" w14:textId="77777777" w:rsidTr="00FB01F8">
        <w:tc>
          <w:tcPr>
            <w:tcW w:w="2122" w:type="dxa"/>
          </w:tcPr>
          <w:p w14:paraId="2586FCEC" w14:textId="1D548DB5" w:rsidR="005A3184" w:rsidRDefault="005A3184" w:rsidP="00FB01F8">
            <w:pPr>
              <w:rPr>
                <w:rStyle w:val="Strong"/>
                <w:b w:val="0"/>
                <w:bCs w:val="0"/>
              </w:rPr>
            </w:pPr>
            <w:r>
              <w:rPr>
                <w:rStyle w:val="Strong"/>
                <w:b w:val="0"/>
                <w:bCs w:val="0"/>
              </w:rPr>
              <w:t xml:space="preserve">White </w:t>
            </w:r>
          </w:p>
        </w:tc>
        <w:tc>
          <w:tcPr>
            <w:tcW w:w="1984" w:type="dxa"/>
          </w:tcPr>
          <w:p w14:paraId="46A1A873" w14:textId="45DAD26E" w:rsidR="005A3184" w:rsidRDefault="00DD0AC0" w:rsidP="00FB01F8">
            <w:pPr>
              <w:jc w:val="center"/>
              <w:rPr>
                <w:rStyle w:val="Strong"/>
                <w:b w:val="0"/>
                <w:bCs w:val="0"/>
              </w:rPr>
            </w:pPr>
            <w:r>
              <w:rPr>
                <w:rStyle w:val="Strong"/>
                <w:b w:val="0"/>
                <w:bCs w:val="0"/>
              </w:rPr>
              <w:t>1</w:t>
            </w:r>
            <w:r w:rsidR="002505BC">
              <w:rPr>
                <w:rStyle w:val="Strong"/>
                <w:b w:val="0"/>
                <w:bCs w:val="0"/>
              </w:rPr>
              <w:t>,</w:t>
            </w:r>
            <w:r>
              <w:rPr>
                <w:rStyle w:val="Strong"/>
                <w:b w:val="0"/>
                <w:bCs w:val="0"/>
              </w:rPr>
              <w:t>405</w:t>
            </w:r>
          </w:p>
        </w:tc>
        <w:tc>
          <w:tcPr>
            <w:tcW w:w="2693" w:type="dxa"/>
          </w:tcPr>
          <w:p w14:paraId="42C81EE4" w14:textId="3344C0D1" w:rsidR="005A3184" w:rsidRDefault="008F25AE" w:rsidP="00FB01F8">
            <w:pPr>
              <w:jc w:val="center"/>
              <w:rPr>
                <w:rStyle w:val="Strong"/>
                <w:b w:val="0"/>
                <w:bCs w:val="0"/>
              </w:rPr>
            </w:pPr>
            <w:r>
              <w:rPr>
                <w:rStyle w:val="Strong"/>
                <w:b w:val="0"/>
                <w:bCs w:val="0"/>
              </w:rPr>
              <w:t>5</w:t>
            </w:r>
          </w:p>
        </w:tc>
        <w:tc>
          <w:tcPr>
            <w:tcW w:w="2217" w:type="dxa"/>
          </w:tcPr>
          <w:p w14:paraId="1255E5E0" w14:textId="7B4A1B99" w:rsidR="005A3184" w:rsidRDefault="006E6D96" w:rsidP="00FB01F8">
            <w:pPr>
              <w:jc w:val="center"/>
              <w:rPr>
                <w:rStyle w:val="Strong"/>
                <w:b w:val="0"/>
                <w:bCs w:val="0"/>
              </w:rPr>
            </w:pPr>
            <w:r>
              <w:rPr>
                <w:rStyle w:val="Strong"/>
                <w:b w:val="0"/>
                <w:bCs w:val="0"/>
              </w:rPr>
              <w:t>0.36%</w:t>
            </w:r>
          </w:p>
        </w:tc>
      </w:tr>
      <w:tr w:rsidR="005A3184" w14:paraId="2E8BB8EE" w14:textId="77777777" w:rsidTr="00FB01F8">
        <w:tc>
          <w:tcPr>
            <w:tcW w:w="2122" w:type="dxa"/>
          </w:tcPr>
          <w:p w14:paraId="04849323" w14:textId="4FCD1D8A" w:rsidR="005A3184" w:rsidRDefault="005A3184" w:rsidP="00FB01F8">
            <w:pPr>
              <w:rPr>
                <w:rStyle w:val="Strong"/>
                <w:b w:val="0"/>
                <w:bCs w:val="0"/>
              </w:rPr>
            </w:pPr>
            <w:r>
              <w:rPr>
                <w:rStyle w:val="Strong"/>
                <w:b w:val="0"/>
                <w:bCs w:val="0"/>
              </w:rPr>
              <w:t xml:space="preserve">BAME </w:t>
            </w:r>
          </w:p>
        </w:tc>
        <w:tc>
          <w:tcPr>
            <w:tcW w:w="1984" w:type="dxa"/>
          </w:tcPr>
          <w:p w14:paraId="6D0D5BF6" w14:textId="58B57F20" w:rsidR="005A3184" w:rsidRDefault="00DD0AC0" w:rsidP="00FB01F8">
            <w:pPr>
              <w:jc w:val="center"/>
              <w:rPr>
                <w:rStyle w:val="Strong"/>
                <w:b w:val="0"/>
                <w:bCs w:val="0"/>
              </w:rPr>
            </w:pPr>
            <w:r>
              <w:rPr>
                <w:rStyle w:val="Strong"/>
                <w:b w:val="0"/>
                <w:bCs w:val="0"/>
              </w:rPr>
              <w:t>1</w:t>
            </w:r>
            <w:r w:rsidR="002505BC">
              <w:rPr>
                <w:rStyle w:val="Strong"/>
                <w:b w:val="0"/>
                <w:bCs w:val="0"/>
              </w:rPr>
              <w:t>,</w:t>
            </w:r>
            <w:r>
              <w:rPr>
                <w:rStyle w:val="Strong"/>
                <w:b w:val="0"/>
                <w:bCs w:val="0"/>
              </w:rPr>
              <w:t>944</w:t>
            </w:r>
          </w:p>
        </w:tc>
        <w:tc>
          <w:tcPr>
            <w:tcW w:w="2693" w:type="dxa"/>
          </w:tcPr>
          <w:p w14:paraId="348DD9B0" w14:textId="49362830" w:rsidR="005A3184" w:rsidRDefault="008F25AE" w:rsidP="00FB01F8">
            <w:pPr>
              <w:jc w:val="center"/>
              <w:rPr>
                <w:rStyle w:val="Strong"/>
                <w:b w:val="0"/>
                <w:bCs w:val="0"/>
              </w:rPr>
            </w:pPr>
            <w:r>
              <w:rPr>
                <w:rStyle w:val="Strong"/>
                <w:b w:val="0"/>
                <w:bCs w:val="0"/>
              </w:rPr>
              <w:t>17</w:t>
            </w:r>
          </w:p>
        </w:tc>
        <w:tc>
          <w:tcPr>
            <w:tcW w:w="2217" w:type="dxa"/>
          </w:tcPr>
          <w:p w14:paraId="40E50F60" w14:textId="277FE28E" w:rsidR="005A3184" w:rsidRDefault="006E6D96" w:rsidP="00FB01F8">
            <w:pPr>
              <w:jc w:val="center"/>
              <w:rPr>
                <w:rStyle w:val="Strong"/>
                <w:b w:val="0"/>
                <w:bCs w:val="0"/>
              </w:rPr>
            </w:pPr>
            <w:r>
              <w:rPr>
                <w:rStyle w:val="Strong"/>
                <w:b w:val="0"/>
                <w:bCs w:val="0"/>
              </w:rPr>
              <w:t>0.87%</w:t>
            </w:r>
          </w:p>
        </w:tc>
      </w:tr>
      <w:tr w:rsidR="005A3184" w14:paraId="383C2AEA" w14:textId="77777777" w:rsidTr="00FB01F8">
        <w:tc>
          <w:tcPr>
            <w:tcW w:w="2122" w:type="dxa"/>
          </w:tcPr>
          <w:p w14:paraId="4142613F" w14:textId="0624A545" w:rsidR="005A3184" w:rsidRDefault="002505BC" w:rsidP="00FB01F8">
            <w:pPr>
              <w:rPr>
                <w:rStyle w:val="Strong"/>
                <w:b w:val="0"/>
                <w:bCs w:val="0"/>
              </w:rPr>
            </w:pPr>
            <w:r>
              <w:rPr>
                <w:rStyle w:val="Strong"/>
                <w:b w:val="0"/>
                <w:bCs w:val="0"/>
              </w:rPr>
              <w:t>E</w:t>
            </w:r>
            <w:r w:rsidR="005A3184">
              <w:rPr>
                <w:rStyle w:val="Strong"/>
                <w:b w:val="0"/>
                <w:bCs w:val="0"/>
              </w:rPr>
              <w:t xml:space="preserve">thnicity not known </w:t>
            </w:r>
          </w:p>
        </w:tc>
        <w:tc>
          <w:tcPr>
            <w:tcW w:w="1984" w:type="dxa"/>
          </w:tcPr>
          <w:p w14:paraId="2A997F1C" w14:textId="432E25E1" w:rsidR="005A3184" w:rsidRDefault="002505BC" w:rsidP="00FB01F8">
            <w:pPr>
              <w:jc w:val="center"/>
              <w:rPr>
                <w:rStyle w:val="Strong"/>
                <w:b w:val="0"/>
                <w:bCs w:val="0"/>
              </w:rPr>
            </w:pPr>
            <w:r>
              <w:rPr>
                <w:rStyle w:val="Strong"/>
                <w:b w:val="0"/>
                <w:bCs w:val="0"/>
              </w:rPr>
              <w:t>164</w:t>
            </w:r>
          </w:p>
        </w:tc>
        <w:tc>
          <w:tcPr>
            <w:tcW w:w="2693" w:type="dxa"/>
          </w:tcPr>
          <w:p w14:paraId="5DAE2B1D" w14:textId="3DB09A78" w:rsidR="005A3184" w:rsidRDefault="008F25AE" w:rsidP="00FB01F8">
            <w:pPr>
              <w:jc w:val="center"/>
              <w:rPr>
                <w:rStyle w:val="Strong"/>
                <w:b w:val="0"/>
                <w:bCs w:val="0"/>
              </w:rPr>
            </w:pPr>
            <w:r>
              <w:rPr>
                <w:rStyle w:val="Strong"/>
                <w:b w:val="0"/>
                <w:bCs w:val="0"/>
              </w:rPr>
              <w:t>3</w:t>
            </w:r>
          </w:p>
        </w:tc>
        <w:tc>
          <w:tcPr>
            <w:tcW w:w="2217" w:type="dxa"/>
          </w:tcPr>
          <w:p w14:paraId="7DB8DE7C" w14:textId="5791B8E9" w:rsidR="005A3184" w:rsidRDefault="006E6D96" w:rsidP="00FB01F8">
            <w:pPr>
              <w:jc w:val="center"/>
              <w:rPr>
                <w:rStyle w:val="Strong"/>
                <w:b w:val="0"/>
                <w:bCs w:val="0"/>
              </w:rPr>
            </w:pPr>
            <w:r>
              <w:rPr>
                <w:rStyle w:val="Strong"/>
                <w:b w:val="0"/>
                <w:bCs w:val="0"/>
              </w:rPr>
              <w:t>1.83%</w:t>
            </w:r>
          </w:p>
        </w:tc>
      </w:tr>
      <w:tr w:rsidR="005A3184" w:rsidRPr="00DC6A46" w14:paraId="72AE8189" w14:textId="77777777" w:rsidTr="00FB01F8">
        <w:tc>
          <w:tcPr>
            <w:tcW w:w="6799" w:type="dxa"/>
            <w:gridSpan w:val="3"/>
          </w:tcPr>
          <w:p w14:paraId="77473430" w14:textId="0CF681BC" w:rsidR="005A3184" w:rsidRPr="00DC6A46" w:rsidRDefault="005A3184" w:rsidP="00FB01F8">
            <w:pPr>
              <w:rPr>
                <w:rStyle w:val="Strong"/>
              </w:rPr>
            </w:pPr>
            <w:r w:rsidRPr="00DC6A46">
              <w:rPr>
                <w:rStyle w:val="Strong"/>
              </w:rPr>
              <w:t xml:space="preserve">Relative likelihood of </w:t>
            </w:r>
            <w:r w:rsidR="006E6D96">
              <w:rPr>
                <w:rStyle w:val="Strong"/>
              </w:rPr>
              <w:t xml:space="preserve">staff </w:t>
            </w:r>
            <w:r w:rsidRPr="00DC6A46">
              <w:rPr>
                <w:rStyle w:val="Strong"/>
              </w:rPr>
              <w:t xml:space="preserve">from BAME communities </w:t>
            </w:r>
            <w:r w:rsidR="006E6D96">
              <w:rPr>
                <w:rStyle w:val="Strong"/>
              </w:rPr>
              <w:t>entering the formal disciplinary process</w:t>
            </w:r>
          </w:p>
        </w:tc>
        <w:tc>
          <w:tcPr>
            <w:tcW w:w="2217" w:type="dxa"/>
            <w:vAlign w:val="center"/>
          </w:tcPr>
          <w:p w14:paraId="01AA05D6" w14:textId="583DB07E" w:rsidR="005A3184" w:rsidRPr="000D5C92" w:rsidRDefault="00294DD7" w:rsidP="00FB01F8">
            <w:pPr>
              <w:jc w:val="center"/>
              <w:rPr>
                <w:rStyle w:val="Strong"/>
              </w:rPr>
            </w:pPr>
            <w:r w:rsidRPr="000D5C92">
              <w:rPr>
                <w:rStyle w:val="Strong"/>
              </w:rPr>
              <w:t>2.46</w:t>
            </w:r>
          </w:p>
        </w:tc>
      </w:tr>
      <w:tr w:rsidR="005A3184" w:rsidRPr="00DC6A46" w14:paraId="5C8E1ED0" w14:textId="77777777" w:rsidTr="00FB01F8">
        <w:tc>
          <w:tcPr>
            <w:tcW w:w="6799" w:type="dxa"/>
            <w:gridSpan w:val="3"/>
          </w:tcPr>
          <w:p w14:paraId="2BAC57B6" w14:textId="444DCF55" w:rsidR="005A3184" w:rsidRPr="00DC6A46" w:rsidRDefault="005A3184" w:rsidP="00FB01F8">
            <w:pPr>
              <w:rPr>
                <w:rStyle w:val="Strong"/>
              </w:rPr>
            </w:pPr>
            <w:r>
              <w:rPr>
                <w:rStyle w:val="Strong"/>
              </w:rPr>
              <w:t xml:space="preserve">For </w:t>
            </w:r>
            <w:r w:rsidR="00ED68CF">
              <w:rPr>
                <w:rStyle w:val="Strong"/>
              </w:rPr>
              <w:t>comparison</w:t>
            </w:r>
            <w:r>
              <w:rPr>
                <w:rStyle w:val="Strong"/>
              </w:rPr>
              <w:t xml:space="preserve">: </w:t>
            </w:r>
            <w:r w:rsidR="00294DD7" w:rsidRPr="00DC6A46">
              <w:rPr>
                <w:rStyle w:val="Strong"/>
              </w:rPr>
              <w:t xml:space="preserve">Relative likelihood of </w:t>
            </w:r>
            <w:r w:rsidR="00294DD7">
              <w:rPr>
                <w:rStyle w:val="Strong"/>
              </w:rPr>
              <w:t xml:space="preserve">staff </w:t>
            </w:r>
            <w:r w:rsidR="00294DD7" w:rsidRPr="00DC6A46">
              <w:rPr>
                <w:rStyle w:val="Strong"/>
              </w:rPr>
              <w:t xml:space="preserve">from BAME communities </w:t>
            </w:r>
            <w:r w:rsidR="00294DD7">
              <w:rPr>
                <w:rStyle w:val="Strong"/>
              </w:rPr>
              <w:t xml:space="preserve">entering the formal disciplinary process </w:t>
            </w:r>
            <w:r>
              <w:rPr>
                <w:rStyle w:val="Strong"/>
              </w:rPr>
              <w:t>– London Trust average (2021)</w:t>
            </w:r>
          </w:p>
        </w:tc>
        <w:tc>
          <w:tcPr>
            <w:tcW w:w="2217" w:type="dxa"/>
            <w:vAlign w:val="center"/>
          </w:tcPr>
          <w:p w14:paraId="0DADB890" w14:textId="10E42117" w:rsidR="005A3184" w:rsidRPr="00F65869" w:rsidRDefault="005A3184" w:rsidP="00FB01F8">
            <w:pPr>
              <w:jc w:val="center"/>
              <w:rPr>
                <w:rStyle w:val="Strong"/>
                <w:b w:val="0"/>
                <w:bCs w:val="0"/>
              </w:rPr>
            </w:pPr>
            <w:r w:rsidRPr="00F65869">
              <w:rPr>
                <w:rStyle w:val="Strong"/>
                <w:b w:val="0"/>
                <w:bCs w:val="0"/>
              </w:rPr>
              <w:t>1.</w:t>
            </w:r>
            <w:r w:rsidR="00133247" w:rsidRPr="00F65869">
              <w:rPr>
                <w:rStyle w:val="Strong"/>
                <w:b w:val="0"/>
                <w:bCs w:val="0"/>
              </w:rPr>
              <w:t>54</w:t>
            </w:r>
          </w:p>
        </w:tc>
      </w:tr>
    </w:tbl>
    <w:p w14:paraId="78A80A5F" w14:textId="3A87D32F" w:rsidR="00A37B8F" w:rsidRDefault="004F31BF" w:rsidP="005A734E">
      <w:r>
        <w:t xml:space="preserve">  </w:t>
      </w:r>
      <w:r w:rsidR="00C917C4">
        <w:t xml:space="preserve"> </w:t>
      </w:r>
    </w:p>
    <w:p w14:paraId="07BD93C9" w14:textId="3317CAAE" w:rsidR="005A734E" w:rsidRPr="005A734E" w:rsidRDefault="005A734E" w:rsidP="005A734E">
      <w:pPr>
        <w:pStyle w:val="Heading2"/>
        <w:rPr>
          <w:rStyle w:val="Strong"/>
          <w:b w:val="0"/>
          <w:bCs w:val="0"/>
        </w:rPr>
      </w:pPr>
      <w:r>
        <w:t>Summary</w:t>
      </w:r>
    </w:p>
    <w:p w14:paraId="7C3AA1F0" w14:textId="06341612" w:rsidR="00F6479B" w:rsidRDefault="00E8380A" w:rsidP="00E921E4">
      <w:r>
        <w:t>T</w:t>
      </w:r>
      <w:r w:rsidR="003963BF">
        <w:t xml:space="preserve">he appropriate focus on inequity in </w:t>
      </w:r>
      <w:r w:rsidR="005D36D2">
        <w:t xml:space="preserve">use of the </w:t>
      </w:r>
      <w:r w:rsidR="003963BF">
        <w:t xml:space="preserve">Trust disciplinary </w:t>
      </w:r>
      <w:r w:rsidR="005D36D2">
        <w:t>process is in place</w:t>
      </w:r>
      <w:r w:rsidR="00F6479B">
        <w:t xml:space="preserve"> and will continue</w:t>
      </w:r>
      <w:r w:rsidR="005A734E">
        <w:t>.</w:t>
      </w:r>
      <w:r w:rsidR="00E921E4">
        <w:t xml:space="preserve">  This is part of the Just &amp; Inclusive Culture workstream that the Trust has invested in and committed to during 2020-21.</w:t>
      </w:r>
      <w:r w:rsidR="005A734E">
        <w:t xml:space="preserve"> </w:t>
      </w:r>
    </w:p>
    <w:p w14:paraId="529DF7F4" w14:textId="09008481" w:rsidR="005D36D2" w:rsidRPr="007B2D39" w:rsidRDefault="005D36D2" w:rsidP="00E921E4">
      <w:r>
        <w:lastRenderedPageBreak/>
        <w:t>Although not</w:t>
      </w:r>
      <w:r w:rsidR="009B7A27">
        <w:t xml:space="preserve"> yet</w:t>
      </w:r>
      <w:r>
        <w:t xml:space="preserve"> in line with London average</w:t>
      </w:r>
      <w:r w:rsidR="009B7A27">
        <w:t>s</w:t>
      </w:r>
      <w:r>
        <w:t>, the Trust</w:t>
      </w:r>
      <w:r w:rsidR="00FC2C48">
        <w:t>’s journey is well underway in establishing equitable use of the BEH disciplinary process across staff of all ethnic communities.</w:t>
      </w:r>
    </w:p>
    <w:p w14:paraId="58393DD2" w14:textId="4DB1D23D" w:rsidR="009F7974" w:rsidRPr="00CC28BA" w:rsidRDefault="009F7974" w:rsidP="001A2FD7">
      <w:pPr>
        <w:pStyle w:val="Heading1"/>
        <w:rPr>
          <w:rStyle w:val="Strong"/>
          <w:b/>
          <w:bCs w:val="0"/>
          <w:color w:val="70AD47" w:themeColor="accent6"/>
        </w:rPr>
      </w:pPr>
      <w:bookmarkStart w:id="5" w:name="_Toc107844779"/>
      <w:r w:rsidRPr="00CC28BA">
        <w:rPr>
          <w:rStyle w:val="Strong"/>
          <w:b/>
          <w:bCs w:val="0"/>
          <w:color w:val="70AD47" w:themeColor="accent6"/>
        </w:rPr>
        <w:t>Indicator 4 – Relative likelihood of staff from BAME communities accessing non mandatory training</w:t>
      </w:r>
      <w:bookmarkEnd w:id="5"/>
      <w:r w:rsidRPr="00CC28BA">
        <w:rPr>
          <w:rStyle w:val="Strong"/>
          <w:b/>
          <w:bCs w:val="0"/>
          <w:color w:val="70AD47" w:themeColor="accent6"/>
        </w:rPr>
        <w:t xml:space="preserve">  </w:t>
      </w:r>
    </w:p>
    <w:p w14:paraId="4D75C8D5" w14:textId="77777777" w:rsidR="009F7974" w:rsidRDefault="009F7974" w:rsidP="009F7974"/>
    <w:p w14:paraId="616F2CB7" w14:textId="46DDC929" w:rsidR="00357AC5" w:rsidRDefault="00324278" w:rsidP="009F7974">
      <w:r>
        <w:t>One of the</w:t>
      </w:r>
      <w:r w:rsidR="00357AC5">
        <w:t xml:space="preserve"> aim</w:t>
      </w:r>
      <w:r>
        <w:t>s</w:t>
      </w:r>
      <w:r w:rsidR="00357AC5">
        <w:t xml:space="preserve"> of the WRES is to see equitable and fair progression through the pay bands to VSM for people of diverse ethnicity</w:t>
      </w:r>
      <w:r>
        <w:t xml:space="preserve">, thereby ensuring equal participation </w:t>
      </w:r>
      <w:r w:rsidR="005A6026">
        <w:t>at the most senior decision-making levels</w:t>
      </w:r>
      <w:r w:rsidR="00357AC5">
        <w:t xml:space="preserve">.  </w:t>
      </w:r>
      <w:proofErr w:type="gramStart"/>
      <w:r w:rsidR="00357AC5">
        <w:t>Therefore</w:t>
      </w:r>
      <w:proofErr w:type="gramEnd"/>
      <w:r w:rsidR="00357AC5">
        <w:t xml:space="preserve"> non-mandatory training indicators are a useful way of understanding how people are being prepared for future progression</w:t>
      </w:r>
      <w:r w:rsidR="00997945">
        <w:t>, and whether</w:t>
      </w:r>
      <w:r w:rsidR="005A734E">
        <w:t xml:space="preserve"> Continuing Professional Development</w:t>
      </w:r>
      <w:r w:rsidR="00997945">
        <w:t xml:space="preserve"> resources are distributed on an equitable basis.</w:t>
      </w:r>
    </w:p>
    <w:p w14:paraId="33FD2372" w14:textId="77777777" w:rsidR="007819C9" w:rsidRDefault="007819C9" w:rsidP="009F7974"/>
    <w:tbl>
      <w:tblPr>
        <w:tblStyle w:val="TableGrid"/>
        <w:tblW w:w="0" w:type="auto"/>
        <w:tblLook w:val="04A0" w:firstRow="1" w:lastRow="0" w:firstColumn="1" w:lastColumn="0" w:noHBand="0" w:noVBand="1"/>
      </w:tblPr>
      <w:tblGrid>
        <w:gridCol w:w="2122"/>
        <w:gridCol w:w="1701"/>
        <w:gridCol w:w="2976"/>
        <w:gridCol w:w="2217"/>
      </w:tblGrid>
      <w:tr w:rsidR="00F2749E" w:rsidRPr="00DC6A46" w14:paraId="1A696761" w14:textId="77777777" w:rsidTr="00F90EEB">
        <w:tc>
          <w:tcPr>
            <w:tcW w:w="2122" w:type="dxa"/>
            <w:shd w:val="clear" w:color="auto" w:fill="E7E6E6" w:themeFill="background2"/>
          </w:tcPr>
          <w:p w14:paraId="63AB10DC" w14:textId="676D839E" w:rsidR="00F2749E" w:rsidRPr="00DC6A46" w:rsidRDefault="00E95FD7" w:rsidP="00541DE3">
            <w:pPr>
              <w:rPr>
                <w:rStyle w:val="Strong"/>
              </w:rPr>
            </w:pPr>
            <w:r>
              <w:br w:type="page"/>
            </w:r>
            <w:r w:rsidR="00F2749E" w:rsidRPr="00DC6A46">
              <w:rPr>
                <w:rStyle w:val="Strong"/>
              </w:rPr>
              <w:t xml:space="preserve">Ethnicity </w:t>
            </w:r>
          </w:p>
        </w:tc>
        <w:tc>
          <w:tcPr>
            <w:tcW w:w="1701" w:type="dxa"/>
            <w:shd w:val="clear" w:color="auto" w:fill="E7E6E6" w:themeFill="background2"/>
          </w:tcPr>
          <w:p w14:paraId="34B2ABBA" w14:textId="77777777" w:rsidR="00F2749E" w:rsidRPr="00DC6A46" w:rsidRDefault="00F2749E" w:rsidP="00541DE3">
            <w:pPr>
              <w:rPr>
                <w:rStyle w:val="Strong"/>
              </w:rPr>
            </w:pPr>
            <w:r w:rsidRPr="00DC6A46">
              <w:rPr>
                <w:rStyle w:val="Strong"/>
              </w:rPr>
              <w:t xml:space="preserve">Actual </w:t>
            </w:r>
            <w:proofErr w:type="gramStart"/>
            <w:r w:rsidRPr="00DC6A46">
              <w:rPr>
                <w:rStyle w:val="Strong"/>
              </w:rPr>
              <w:t>numbers</w:t>
            </w:r>
            <w:proofErr w:type="gramEnd"/>
            <w:r w:rsidRPr="00DC6A46">
              <w:rPr>
                <w:rStyle w:val="Strong"/>
              </w:rPr>
              <w:t xml:space="preserve"> </w:t>
            </w:r>
            <w:r>
              <w:rPr>
                <w:rStyle w:val="Strong"/>
              </w:rPr>
              <w:t xml:space="preserve">staff </w:t>
            </w:r>
            <w:r w:rsidRPr="005A3184">
              <w:rPr>
                <w:rStyle w:val="Strong"/>
                <w:i/>
                <w:iCs/>
              </w:rPr>
              <w:t>n=</w:t>
            </w:r>
            <w:r>
              <w:rPr>
                <w:rStyle w:val="Strong"/>
              </w:rPr>
              <w:t xml:space="preserve"> </w:t>
            </w:r>
          </w:p>
        </w:tc>
        <w:tc>
          <w:tcPr>
            <w:tcW w:w="2976" w:type="dxa"/>
            <w:shd w:val="clear" w:color="auto" w:fill="E7E6E6" w:themeFill="background2"/>
          </w:tcPr>
          <w:p w14:paraId="4572D650" w14:textId="4F29B550" w:rsidR="00F2749E" w:rsidRPr="00DC6A46" w:rsidRDefault="00F2749E" w:rsidP="00541DE3">
            <w:pPr>
              <w:rPr>
                <w:rStyle w:val="Strong"/>
              </w:rPr>
            </w:pPr>
            <w:r>
              <w:rPr>
                <w:rStyle w:val="Strong"/>
              </w:rPr>
              <w:t>Actual numbers of staff accessing non</w:t>
            </w:r>
            <w:r w:rsidR="00F90EEB">
              <w:rPr>
                <w:rStyle w:val="Strong"/>
              </w:rPr>
              <w:t>-</w:t>
            </w:r>
            <w:r>
              <w:rPr>
                <w:rStyle w:val="Strong"/>
              </w:rPr>
              <w:t xml:space="preserve">mandatory training opportunities </w:t>
            </w:r>
            <w:r w:rsidR="00F90EEB" w:rsidRPr="00F90EEB">
              <w:rPr>
                <w:rStyle w:val="Strong"/>
                <w:i/>
                <w:iCs/>
              </w:rPr>
              <w:t>n=</w:t>
            </w:r>
          </w:p>
        </w:tc>
        <w:tc>
          <w:tcPr>
            <w:tcW w:w="2217" w:type="dxa"/>
            <w:shd w:val="clear" w:color="auto" w:fill="E7E6E6" w:themeFill="background2"/>
          </w:tcPr>
          <w:p w14:paraId="61948970" w14:textId="7519FF01" w:rsidR="00F2749E" w:rsidRPr="00DC6A46" w:rsidRDefault="00F2749E" w:rsidP="00541DE3">
            <w:pPr>
              <w:rPr>
                <w:rStyle w:val="Strong"/>
              </w:rPr>
            </w:pPr>
            <w:r>
              <w:rPr>
                <w:rStyle w:val="Strong"/>
              </w:rPr>
              <w:t xml:space="preserve">Relative likelihood of </w:t>
            </w:r>
            <w:r w:rsidR="00F90EEB">
              <w:rPr>
                <w:rStyle w:val="Strong"/>
              </w:rPr>
              <w:t xml:space="preserve">accessing non-mandatory training opportunities </w:t>
            </w:r>
          </w:p>
        </w:tc>
      </w:tr>
      <w:tr w:rsidR="00F2749E" w14:paraId="4CED6B2C" w14:textId="77777777" w:rsidTr="00F90EEB">
        <w:tc>
          <w:tcPr>
            <w:tcW w:w="2122" w:type="dxa"/>
          </w:tcPr>
          <w:p w14:paraId="58AFB7F9" w14:textId="77777777" w:rsidR="00F2749E" w:rsidRDefault="00F2749E" w:rsidP="00541DE3">
            <w:pPr>
              <w:rPr>
                <w:rStyle w:val="Strong"/>
                <w:b w:val="0"/>
                <w:bCs w:val="0"/>
              </w:rPr>
            </w:pPr>
            <w:r>
              <w:rPr>
                <w:rStyle w:val="Strong"/>
                <w:b w:val="0"/>
                <w:bCs w:val="0"/>
              </w:rPr>
              <w:t xml:space="preserve">White </w:t>
            </w:r>
          </w:p>
        </w:tc>
        <w:tc>
          <w:tcPr>
            <w:tcW w:w="1701" w:type="dxa"/>
          </w:tcPr>
          <w:p w14:paraId="6831AD16" w14:textId="7D625750" w:rsidR="00F2749E" w:rsidRDefault="00131A01" w:rsidP="00541DE3">
            <w:pPr>
              <w:jc w:val="center"/>
              <w:rPr>
                <w:rStyle w:val="Strong"/>
                <w:b w:val="0"/>
                <w:bCs w:val="0"/>
              </w:rPr>
            </w:pPr>
            <w:r>
              <w:rPr>
                <w:rStyle w:val="Strong"/>
                <w:b w:val="0"/>
                <w:bCs w:val="0"/>
              </w:rPr>
              <w:t>1405</w:t>
            </w:r>
          </w:p>
        </w:tc>
        <w:tc>
          <w:tcPr>
            <w:tcW w:w="2976" w:type="dxa"/>
          </w:tcPr>
          <w:p w14:paraId="54CA18D5" w14:textId="0E335EDB" w:rsidR="00F2749E" w:rsidRDefault="00590828" w:rsidP="00541DE3">
            <w:pPr>
              <w:jc w:val="center"/>
              <w:rPr>
                <w:rStyle w:val="Strong"/>
                <w:b w:val="0"/>
                <w:bCs w:val="0"/>
              </w:rPr>
            </w:pPr>
            <w:r>
              <w:rPr>
                <w:rStyle w:val="Strong"/>
                <w:b w:val="0"/>
                <w:bCs w:val="0"/>
              </w:rPr>
              <w:t>1,065</w:t>
            </w:r>
          </w:p>
        </w:tc>
        <w:tc>
          <w:tcPr>
            <w:tcW w:w="2217" w:type="dxa"/>
          </w:tcPr>
          <w:p w14:paraId="6827762C" w14:textId="4F1E1B1A" w:rsidR="00F2749E" w:rsidRDefault="00E0158C" w:rsidP="00541DE3">
            <w:pPr>
              <w:jc w:val="center"/>
              <w:rPr>
                <w:rStyle w:val="Strong"/>
                <w:b w:val="0"/>
                <w:bCs w:val="0"/>
              </w:rPr>
            </w:pPr>
            <w:r>
              <w:rPr>
                <w:rStyle w:val="Strong"/>
                <w:b w:val="0"/>
                <w:bCs w:val="0"/>
              </w:rPr>
              <w:t>75.80%</w:t>
            </w:r>
          </w:p>
        </w:tc>
      </w:tr>
      <w:tr w:rsidR="00F2749E" w14:paraId="69E53431" w14:textId="77777777" w:rsidTr="00F90EEB">
        <w:tc>
          <w:tcPr>
            <w:tcW w:w="2122" w:type="dxa"/>
          </w:tcPr>
          <w:p w14:paraId="4B35541F" w14:textId="77777777" w:rsidR="00F2749E" w:rsidRDefault="00F2749E" w:rsidP="00541DE3">
            <w:pPr>
              <w:rPr>
                <w:rStyle w:val="Strong"/>
                <w:b w:val="0"/>
                <w:bCs w:val="0"/>
              </w:rPr>
            </w:pPr>
            <w:r>
              <w:rPr>
                <w:rStyle w:val="Strong"/>
                <w:b w:val="0"/>
                <w:bCs w:val="0"/>
              </w:rPr>
              <w:t xml:space="preserve">BAME </w:t>
            </w:r>
          </w:p>
        </w:tc>
        <w:tc>
          <w:tcPr>
            <w:tcW w:w="1701" w:type="dxa"/>
          </w:tcPr>
          <w:p w14:paraId="57E8FAA2" w14:textId="42A8523F" w:rsidR="00F2749E" w:rsidRDefault="00131A01" w:rsidP="00541DE3">
            <w:pPr>
              <w:jc w:val="center"/>
              <w:rPr>
                <w:rStyle w:val="Strong"/>
                <w:b w:val="0"/>
                <w:bCs w:val="0"/>
              </w:rPr>
            </w:pPr>
            <w:r>
              <w:rPr>
                <w:rStyle w:val="Strong"/>
                <w:b w:val="0"/>
                <w:bCs w:val="0"/>
              </w:rPr>
              <w:t>1944</w:t>
            </w:r>
          </w:p>
        </w:tc>
        <w:tc>
          <w:tcPr>
            <w:tcW w:w="2976" w:type="dxa"/>
          </w:tcPr>
          <w:p w14:paraId="1FE3FCBC" w14:textId="0A54DE57" w:rsidR="00F2749E" w:rsidRDefault="00590828" w:rsidP="00541DE3">
            <w:pPr>
              <w:jc w:val="center"/>
              <w:rPr>
                <w:rStyle w:val="Strong"/>
                <w:b w:val="0"/>
                <w:bCs w:val="0"/>
              </w:rPr>
            </w:pPr>
            <w:r>
              <w:rPr>
                <w:rStyle w:val="Strong"/>
                <w:b w:val="0"/>
                <w:bCs w:val="0"/>
              </w:rPr>
              <w:t>1,629</w:t>
            </w:r>
          </w:p>
        </w:tc>
        <w:tc>
          <w:tcPr>
            <w:tcW w:w="2217" w:type="dxa"/>
          </w:tcPr>
          <w:p w14:paraId="086370A6" w14:textId="39B7CB5C" w:rsidR="00F2749E" w:rsidRDefault="00E0158C" w:rsidP="00541DE3">
            <w:pPr>
              <w:jc w:val="center"/>
              <w:rPr>
                <w:rStyle w:val="Strong"/>
                <w:b w:val="0"/>
                <w:bCs w:val="0"/>
              </w:rPr>
            </w:pPr>
            <w:r>
              <w:rPr>
                <w:rStyle w:val="Strong"/>
                <w:b w:val="0"/>
                <w:bCs w:val="0"/>
              </w:rPr>
              <w:t>83.80%</w:t>
            </w:r>
          </w:p>
        </w:tc>
      </w:tr>
      <w:tr w:rsidR="00F2749E" w14:paraId="4B3C389F" w14:textId="77777777" w:rsidTr="00F90EEB">
        <w:tc>
          <w:tcPr>
            <w:tcW w:w="2122" w:type="dxa"/>
          </w:tcPr>
          <w:p w14:paraId="19103C3B" w14:textId="77777777" w:rsidR="00F2749E" w:rsidRDefault="00F2749E" w:rsidP="00541DE3">
            <w:pPr>
              <w:rPr>
                <w:rStyle w:val="Strong"/>
                <w:b w:val="0"/>
                <w:bCs w:val="0"/>
              </w:rPr>
            </w:pPr>
            <w:r>
              <w:rPr>
                <w:rStyle w:val="Strong"/>
                <w:b w:val="0"/>
                <w:bCs w:val="0"/>
              </w:rPr>
              <w:t xml:space="preserve">Ethnicity not known </w:t>
            </w:r>
          </w:p>
        </w:tc>
        <w:tc>
          <w:tcPr>
            <w:tcW w:w="1701" w:type="dxa"/>
          </w:tcPr>
          <w:p w14:paraId="1EE363A6" w14:textId="7EA8E036" w:rsidR="00F2749E" w:rsidRDefault="00131A01" w:rsidP="00541DE3">
            <w:pPr>
              <w:jc w:val="center"/>
              <w:rPr>
                <w:rStyle w:val="Strong"/>
                <w:b w:val="0"/>
                <w:bCs w:val="0"/>
              </w:rPr>
            </w:pPr>
            <w:r>
              <w:rPr>
                <w:rStyle w:val="Strong"/>
                <w:b w:val="0"/>
                <w:bCs w:val="0"/>
              </w:rPr>
              <w:t>164</w:t>
            </w:r>
          </w:p>
        </w:tc>
        <w:tc>
          <w:tcPr>
            <w:tcW w:w="2976" w:type="dxa"/>
          </w:tcPr>
          <w:p w14:paraId="1472A455" w14:textId="577E69D2" w:rsidR="00F2749E" w:rsidRDefault="00590828" w:rsidP="00541DE3">
            <w:pPr>
              <w:jc w:val="center"/>
              <w:rPr>
                <w:rStyle w:val="Strong"/>
                <w:b w:val="0"/>
                <w:bCs w:val="0"/>
              </w:rPr>
            </w:pPr>
            <w:r>
              <w:rPr>
                <w:rStyle w:val="Strong"/>
                <w:b w:val="0"/>
                <w:bCs w:val="0"/>
              </w:rPr>
              <w:t>134</w:t>
            </w:r>
          </w:p>
        </w:tc>
        <w:tc>
          <w:tcPr>
            <w:tcW w:w="2217" w:type="dxa"/>
          </w:tcPr>
          <w:p w14:paraId="0D17203B" w14:textId="0EFEEFCE" w:rsidR="00F2749E" w:rsidRDefault="00E0158C" w:rsidP="00541DE3">
            <w:pPr>
              <w:jc w:val="center"/>
              <w:rPr>
                <w:rStyle w:val="Strong"/>
                <w:b w:val="0"/>
                <w:bCs w:val="0"/>
              </w:rPr>
            </w:pPr>
            <w:r>
              <w:rPr>
                <w:rStyle w:val="Strong"/>
                <w:b w:val="0"/>
                <w:bCs w:val="0"/>
              </w:rPr>
              <w:t>81.71%</w:t>
            </w:r>
          </w:p>
        </w:tc>
      </w:tr>
      <w:tr w:rsidR="00F2749E" w:rsidRPr="00DC6A46" w14:paraId="75786F41" w14:textId="77777777" w:rsidTr="00541DE3">
        <w:tc>
          <w:tcPr>
            <w:tcW w:w="6799" w:type="dxa"/>
            <w:gridSpan w:val="3"/>
          </w:tcPr>
          <w:p w14:paraId="605506A6" w14:textId="628B7B30" w:rsidR="00F2749E" w:rsidRPr="00DC6A46" w:rsidRDefault="00F2749E" w:rsidP="00541DE3">
            <w:pPr>
              <w:rPr>
                <w:rStyle w:val="Strong"/>
              </w:rPr>
            </w:pPr>
            <w:r w:rsidRPr="00DC6A46">
              <w:rPr>
                <w:rStyle w:val="Strong"/>
              </w:rPr>
              <w:t xml:space="preserve">Relative likelihood of </w:t>
            </w:r>
            <w:r>
              <w:rPr>
                <w:rStyle w:val="Strong"/>
              </w:rPr>
              <w:t xml:space="preserve">staff </w:t>
            </w:r>
            <w:r w:rsidRPr="00DC6A46">
              <w:rPr>
                <w:rStyle w:val="Strong"/>
              </w:rPr>
              <w:t xml:space="preserve">from </w:t>
            </w:r>
            <w:r w:rsidR="00906B26">
              <w:rPr>
                <w:rStyle w:val="Strong"/>
              </w:rPr>
              <w:t>white</w:t>
            </w:r>
            <w:r w:rsidRPr="00DC6A46">
              <w:rPr>
                <w:rStyle w:val="Strong"/>
              </w:rPr>
              <w:t xml:space="preserve"> communities </w:t>
            </w:r>
            <w:r w:rsidR="00F90EEB">
              <w:rPr>
                <w:rStyle w:val="Strong"/>
              </w:rPr>
              <w:t xml:space="preserve">accessing non-mandatory training opportunities </w:t>
            </w:r>
            <w:r w:rsidR="00906B26">
              <w:rPr>
                <w:rStyle w:val="Strong"/>
              </w:rPr>
              <w:t>when compared with BAME colleagues</w:t>
            </w:r>
          </w:p>
        </w:tc>
        <w:tc>
          <w:tcPr>
            <w:tcW w:w="2217" w:type="dxa"/>
            <w:vAlign w:val="center"/>
          </w:tcPr>
          <w:p w14:paraId="38ECF4CF" w14:textId="2050BCA9" w:rsidR="00F2749E" w:rsidRPr="00DC6A46" w:rsidRDefault="00F67D8D" w:rsidP="00541DE3">
            <w:pPr>
              <w:jc w:val="center"/>
              <w:rPr>
                <w:rStyle w:val="Strong"/>
              </w:rPr>
            </w:pPr>
            <w:r>
              <w:rPr>
                <w:rStyle w:val="Strong"/>
              </w:rPr>
              <w:t>0.90</w:t>
            </w:r>
          </w:p>
        </w:tc>
      </w:tr>
      <w:tr w:rsidR="00F2749E" w:rsidRPr="00DC6A46" w14:paraId="5A78A501" w14:textId="77777777" w:rsidTr="00541DE3">
        <w:tc>
          <w:tcPr>
            <w:tcW w:w="6799" w:type="dxa"/>
            <w:gridSpan w:val="3"/>
          </w:tcPr>
          <w:p w14:paraId="28510A73" w14:textId="79941439" w:rsidR="00F2749E" w:rsidRPr="00DC6A46" w:rsidRDefault="00F2749E" w:rsidP="00541DE3">
            <w:pPr>
              <w:rPr>
                <w:rStyle w:val="Strong"/>
              </w:rPr>
            </w:pPr>
            <w:r>
              <w:rPr>
                <w:rStyle w:val="Strong"/>
              </w:rPr>
              <w:t xml:space="preserve">For information: </w:t>
            </w:r>
            <w:r w:rsidRPr="00DC6A46">
              <w:rPr>
                <w:rStyle w:val="Strong"/>
              </w:rPr>
              <w:t xml:space="preserve">Relative likelihood of </w:t>
            </w:r>
            <w:r>
              <w:rPr>
                <w:rStyle w:val="Strong"/>
              </w:rPr>
              <w:t xml:space="preserve">staff </w:t>
            </w:r>
            <w:r w:rsidRPr="00DC6A46">
              <w:rPr>
                <w:rStyle w:val="Strong"/>
              </w:rPr>
              <w:t xml:space="preserve">from </w:t>
            </w:r>
            <w:r w:rsidR="00906B26">
              <w:rPr>
                <w:rStyle w:val="Strong"/>
              </w:rPr>
              <w:t xml:space="preserve">white </w:t>
            </w:r>
            <w:r w:rsidRPr="00DC6A46">
              <w:rPr>
                <w:rStyle w:val="Strong"/>
              </w:rPr>
              <w:t xml:space="preserve">communities </w:t>
            </w:r>
            <w:r w:rsidR="00F90EEB">
              <w:rPr>
                <w:rStyle w:val="Strong"/>
              </w:rPr>
              <w:t xml:space="preserve">accessing non-mandatory training opportunities </w:t>
            </w:r>
            <w:r w:rsidR="00906B26">
              <w:rPr>
                <w:rStyle w:val="Strong"/>
              </w:rPr>
              <w:t xml:space="preserve">when compared with BAME colleagues </w:t>
            </w:r>
            <w:r>
              <w:rPr>
                <w:rStyle w:val="Strong"/>
              </w:rPr>
              <w:t>– London Trust average (2021)</w:t>
            </w:r>
          </w:p>
        </w:tc>
        <w:tc>
          <w:tcPr>
            <w:tcW w:w="2217" w:type="dxa"/>
            <w:vAlign w:val="center"/>
          </w:tcPr>
          <w:p w14:paraId="480A9EBD" w14:textId="5FE7005C" w:rsidR="00F2749E" w:rsidRPr="00F6479B" w:rsidRDefault="0052479C" w:rsidP="00541DE3">
            <w:pPr>
              <w:jc w:val="center"/>
              <w:rPr>
                <w:rStyle w:val="Strong"/>
                <w:b w:val="0"/>
                <w:bCs w:val="0"/>
                <w:color w:val="FF0000"/>
              </w:rPr>
            </w:pPr>
            <w:r w:rsidRPr="00F6479B">
              <w:rPr>
                <w:rStyle w:val="Strong"/>
                <w:b w:val="0"/>
                <w:bCs w:val="0"/>
              </w:rPr>
              <w:t>0.95</w:t>
            </w:r>
          </w:p>
        </w:tc>
      </w:tr>
    </w:tbl>
    <w:p w14:paraId="34B5D956" w14:textId="77777777" w:rsidR="005A6026" w:rsidRDefault="005A6026" w:rsidP="009F7974"/>
    <w:p w14:paraId="607E1293" w14:textId="3511F017" w:rsidR="00A37B8F" w:rsidRPr="00FD7A0B" w:rsidRDefault="00A37B8F" w:rsidP="00FD7A0B">
      <w:pPr>
        <w:pStyle w:val="Heading2"/>
        <w:rPr>
          <w:rStyle w:val="Strong"/>
          <w:b w:val="0"/>
          <w:bCs w:val="0"/>
        </w:rPr>
      </w:pPr>
      <w:bookmarkStart w:id="6" w:name="_Toc107844781"/>
      <w:r w:rsidRPr="00FD7A0B">
        <w:rPr>
          <w:rStyle w:val="Strong"/>
          <w:b w:val="0"/>
          <w:bCs w:val="0"/>
        </w:rPr>
        <w:t xml:space="preserve">Summary </w:t>
      </w:r>
      <w:bookmarkEnd w:id="6"/>
    </w:p>
    <w:p w14:paraId="36A59B45" w14:textId="4785A928" w:rsidR="0064039D" w:rsidRDefault="00604E2C" w:rsidP="00F34B4C">
      <w:pPr>
        <w:tabs>
          <w:tab w:val="left" w:pos="6543"/>
        </w:tabs>
      </w:pPr>
      <w:r>
        <w:t xml:space="preserve">BEH likelihood ratio indicates </w:t>
      </w:r>
      <w:r w:rsidR="00A37B8F">
        <w:t xml:space="preserve">that proportionately more BAME staff are </w:t>
      </w:r>
      <w:r w:rsidR="00D75791">
        <w:t xml:space="preserve">accessing development opportunities than their counterparts in the white communities. </w:t>
      </w:r>
      <w:r w:rsidR="0016462B">
        <w:t xml:space="preserve"> </w:t>
      </w:r>
      <w:r w:rsidR="005A734E">
        <w:t>T</w:t>
      </w:r>
      <w:r w:rsidR="0016462B">
        <w:t xml:space="preserve">his is </w:t>
      </w:r>
      <w:r w:rsidR="003E6A2B">
        <w:t>an</w:t>
      </w:r>
      <w:r w:rsidR="00FD7A0B">
        <w:t xml:space="preserve"> equity</w:t>
      </w:r>
      <w:r w:rsidR="003E6A2B">
        <w:t xml:space="preserve"> indicator </w:t>
      </w:r>
      <w:r w:rsidR="00FD7A0B">
        <w:t xml:space="preserve">of use of current resources, </w:t>
      </w:r>
      <w:proofErr w:type="gramStart"/>
      <w:r w:rsidR="00FD7A0B">
        <w:t>and also</w:t>
      </w:r>
      <w:proofErr w:type="gramEnd"/>
      <w:r w:rsidR="00FD7A0B">
        <w:t xml:space="preserve"> a predictor </w:t>
      </w:r>
      <w:r w:rsidR="003E6A2B">
        <w:t xml:space="preserve">of </w:t>
      </w:r>
      <w:r w:rsidR="006908CB">
        <w:t xml:space="preserve">future diversification of senior </w:t>
      </w:r>
      <w:r w:rsidR="005A734E">
        <w:t xml:space="preserve">decision-making </w:t>
      </w:r>
      <w:r w:rsidR="006908CB">
        <w:t>roles</w:t>
      </w:r>
      <w:r w:rsidR="005A734E">
        <w:t xml:space="preserve"> in the Trust.</w:t>
      </w:r>
      <w:r w:rsidR="006908CB">
        <w:t xml:space="preserve"> </w:t>
      </w:r>
    </w:p>
    <w:p w14:paraId="046D6E26" w14:textId="08B6CEFB" w:rsidR="006908CB" w:rsidRPr="00252756" w:rsidRDefault="006908CB" w:rsidP="001A2FD7">
      <w:pPr>
        <w:pStyle w:val="Heading1"/>
        <w:rPr>
          <w:rStyle w:val="Strong"/>
          <w:b/>
          <w:bCs w:val="0"/>
          <w:color w:val="70AD47" w:themeColor="accent6"/>
        </w:rPr>
      </w:pPr>
      <w:bookmarkStart w:id="7" w:name="_Toc107844782"/>
      <w:r w:rsidRPr="00252756">
        <w:rPr>
          <w:rStyle w:val="Strong"/>
          <w:b/>
          <w:bCs w:val="0"/>
          <w:color w:val="70AD47" w:themeColor="accent6"/>
        </w:rPr>
        <w:t>Indicat</w:t>
      </w:r>
      <w:r w:rsidR="00F34B4C">
        <w:rPr>
          <w:rStyle w:val="Strong"/>
          <w:b/>
          <w:bCs w:val="0"/>
          <w:color w:val="70AD47" w:themeColor="accent6"/>
        </w:rPr>
        <w:t>o</w:t>
      </w:r>
      <w:r w:rsidRPr="00252756">
        <w:rPr>
          <w:rStyle w:val="Strong"/>
          <w:b/>
          <w:bCs w:val="0"/>
          <w:color w:val="70AD47" w:themeColor="accent6"/>
        </w:rPr>
        <w:t xml:space="preserve">r 5 – </w:t>
      </w:r>
      <w:r w:rsidR="00C36D0A" w:rsidRPr="00252756">
        <w:rPr>
          <w:rStyle w:val="Strong"/>
          <w:b/>
          <w:bCs w:val="0"/>
          <w:color w:val="70AD47" w:themeColor="accent6"/>
        </w:rPr>
        <w:t xml:space="preserve">Percentage of staff experiencing bullying, harassment </w:t>
      </w:r>
      <w:r w:rsidR="0052719F" w:rsidRPr="00252756">
        <w:rPr>
          <w:rStyle w:val="Strong"/>
          <w:b/>
          <w:bCs w:val="0"/>
          <w:color w:val="70AD47" w:themeColor="accent6"/>
        </w:rPr>
        <w:t xml:space="preserve">or abuse from patients, </w:t>
      </w:r>
      <w:proofErr w:type="gramStart"/>
      <w:r w:rsidR="0052719F" w:rsidRPr="00252756">
        <w:rPr>
          <w:rStyle w:val="Strong"/>
          <w:b/>
          <w:bCs w:val="0"/>
          <w:color w:val="70AD47" w:themeColor="accent6"/>
        </w:rPr>
        <w:t>relatives</w:t>
      </w:r>
      <w:proofErr w:type="gramEnd"/>
      <w:r w:rsidR="0052719F" w:rsidRPr="00252756">
        <w:rPr>
          <w:rStyle w:val="Strong"/>
          <w:b/>
          <w:bCs w:val="0"/>
          <w:color w:val="70AD47" w:themeColor="accent6"/>
        </w:rPr>
        <w:t xml:space="preserve"> or the public in the last 12 months</w:t>
      </w:r>
      <w:bookmarkEnd w:id="7"/>
    </w:p>
    <w:p w14:paraId="1E8182D9" w14:textId="698584BD" w:rsidR="0052719F" w:rsidRPr="00FD7A0B" w:rsidRDefault="0052719F" w:rsidP="00FD7A0B">
      <w:pPr>
        <w:pStyle w:val="Heading2"/>
      </w:pPr>
    </w:p>
    <w:p w14:paraId="4242328F" w14:textId="28FE4D5A" w:rsidR="0052719F" w:rsidRDefault="0052719F" w:rsidP="0052719F">
      <w:r>
        <w:t>This indicator is drawn from staff survey results and is disaggregated</w:t>
      </w:r>
      <w:r w:rsidR="0033664B">
        <w:t xml:space="preserve"> by ethnicity </w:t>
      </w:r>
      <w:r>
        <w:t>to show the differential treatment by the public of</w:t>
      </w:r>
      <w:r w:rsidR="00312C18">
        <w:t xml:space="preserve"> our</w:t>
      </w:r>
      <w:r>
        <w:t xml:space="preserve"> staff.</w:t>
      </w:r>
      <w:r w:rsidR="003E6A2B">
        <w:t xml:space="preserve"> </w:t>
      </w:r>
      <w:r w:rsidR="009D1ED9">
        <w:t xml:space="preserve"> It </w:t>
      </w:r>
      <w:r w:rsidR="00DA7F34">
        <w:t>demonstrates</w:t>
      </w:r>
      <w:r w:rsidR="009D1ED9">
        <w:t xml:space="preserve"> </w:t>
      </w:r>
      <w:r w:rsidR="004C1613">
        <w:t xml:space="preserve">a sinister assumption </w:t>
      </w:r>
      <w:r w:rsidR="0060093F">
        <w:t xml:space="preserve">from </w:t>
      </w:r>
      <w:r w:rsidR="004C1613">
        <w:t xml:space="preserve">some members of </w:t>
      </w:r>
      <w:r w:rsidR="0060093F">
        <w:t xml:space="preserve">the public </w:t>
      </w:r>
      <w:r w:rsidR="009D1ED9">
        <w:t>that people who have a different culture, skin colour, faith adherence or accent are an ‘easy target’</w:t>
      </w:r>
      <w:r w:rsidR="00DA7F34">
        <w:t xml:space="preserve"> upon which</w:t>
      </w:r>
      <w:r w:rsidR="009D1ED9">
        <w:t xml:space="preserve"> </w:t>
      </w:r>
      <w:r w:rsidR="00502237">
        <w:t xml:space="preserve">to take out </w:t>
      </w:r>
      <w:r w:rsidR="009D1ED9">
        <w:t>their irritation</w:t>
      </w:r>
      <w:r w:rsidR="00502237">
        <w:t>, anger or stress</w:t>
      </w:r>
      <w:r w:rsidR="00DA7F34">
        <w:t xml:space="preserve"> when using or visiting our services.</w:t>
      </w:r>
      <w:r w:rsidR="009D1ED9">
        <w:t xml:space="preserve"> </w:t>
      </w:r>
    </w:p>
    <w:p w14:paraId="070FA27A" w14:textId="443DBBA6" w:rsidR="0095076E" w:rsidRDefault="0095076E" w:rsidP="0095076E">
      <w:pPr>
        <w:pStyle w:val="ListParagraph"/>
        <w:numPr>
          <w:ilvl w:val="0"/>
          <w:numId w:val="1"/>
        </w:numPr>
        <w:tabs>
          <w:tab w:val="left" w:pos="6543"/>
        </w:tabs>
      </w:pPr>
      <w:r>
        <w:lastRenderedPageBreak/>
        <w:t xml:space="preserve">28.4% of staff from white communities have told us they’ve experienced bullying from patients, members of the public and </w:t>
      </w:r>
      <w:r w:rsidR="006462CA">
        <w:t xml:space="preserve">visitors in the last 12 months. </w:t>
      </w:r>
    </w:p>
    <w:p w14:paraId="0F54BB5B" w14:textId="0BBF462F" w:rsidR="006462CA" w:rsidRDefault="006462CA" w:rsidP="0095076E">
      <w:pPr>
        <w:pStyle w:val="ListParagraph"/>
        <w:numPr>
          <w:ilvl w:val="0"/>
          <w:numId w:val="1"/>
        </w:numPr>
        <w:tabs>
          <w:tab w:val="left" w:pos="6543"/>
        </w:tabs>
      </w:pPr>
      <w:r>
        <w:t xml:space="preserve">36.1% of staff from BAME communities have told us they’ve experienced bullying from patients, members of the public and visitors in the last 12 months; </w:t>
      </w:r>
      <w:r w:rsidRPr="005F3DD8">
        <w:rPr>
          <w:b/>
          <w:bCs/>
        </w:rPr>
        <w:t xml:space="preserve">a differential of </w:t>
      </w:r>
      <w:r w:rsidR="005F3DD8" w:rsidRPr="005F3DD8">
        <w:rPr>
          <w:b/>
          <w:bCs/>
        </w:rPr>
        <w:t>7.7 percentage points.</w:t>
      </w:r>
    </w:p>
    <w:p w14:paraId="6A8AC7DA" w14:textId="0275EF15" w:rsidR="005715B3" w:rsidRDefault="0091694E" w:rsidP="00887BCF">
      <w:pPr>
        <w:tabs>
          <w:tab w:val="left" w:pos="6543"/>
        </w:tabs>
        <w:ind w:firstLine="720"/>
      </w:pPr>
      <w:r>
        <w:rPr>
          <w:noProof/>
        </w:rPr>
        <w:drawing>
          <wp:inline distT="0" distB="0" distL="0" distR="0" wp14:anchorId="462DDD5F" wp14:editId="68924F64">
            <wp:extent cx="4572000" cy="2743200"/>
            <wp:effectExtent l="0" t="0" r="0" b="0"/>
            <wp:docPr id="14" name="Chart 14">
              <a:extLst xmlns:a="http://schemas.openxmlformats.org/drawingml/2006/main">
                <a:ext uri="{FF2B5EF4-FFF2-40B4-BE49-F238E27FC236}">
                  <a16:creationId xmlns:a16="http://schemas.microsoft.com/office/drawing/2014/main" id="{03CDACDD-B2E7-481E-AE39-34FEA48CD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C7D104" w14:textId="6ED568B8" w:rsidR="00487BA9" w:rsidRDefault="00487BA9" w:rsidP="00487BA9">
      <w:pPr>
        <w:jc w:val="right"/>
        <w:rPr>
          <w:i/>
          <w:iCs/>
        </w:rPr>
      </w:pPr>
      <w:r w:rsidRPr="00416EB6">
        <w:rPr>
          <w:i/>
          <w:iCs/>
        </w:rPr>
        <w:t xml:space="preserve">Figure </w:t>
      </w:r>
      <w:r w:rsidR="002E0C47">
        <w:rPr>
          <w:i/>
          <w:iCs/>
        </w:rPr>
        <w:t>5</w:t>
      </w:r>
      <w:r w:rsidRPr="00416EB6">
        <w:rPr>
          <w:i/>
          <w:iCs/>
        </w:rPr>
        <w:t xml:space="preserve">: </w:t>
      </w:r>
      <w:r w:rsidR="0082314C">
        <w:rPr>
          <w:i/>
          <w:iCs/>
        </w:rPr>
        <w:t xml:space="preserve">Staff experience of bullying from patients &amp; public in last 12 </w:t>
      </w:r>
      <w:r w:rsidR="00C17F35">
        <w:rPr>
          <w:i/>
          <w:iCs/>
        </w:rPr>
        <w:t>months</w:t>
      </w:r>
    </w:p>
    <w:p w14:paraId="42A9E0B6" w14:textId="77777777" w:rsidR="005A734E" w:rsidRDefault="005A734E" w:rsidP="005A734E">
      <w:pPr>
        <w:rPr>
          <w:i/>
          <w:iCs/>
        </w:rPr>
      </w:pPr>
    </w:p>
    <w:p w14:paraId="0693C9FB" w14:textId="77777777" w:rsidR="003E6A2B" w:rsidRDefault="005A734E" w:rsidP="003E6A2B">
      <w:pPr>
        <w:pStyle w:val="Heading2"/>
        <w:rPr>
          <w:rStyle w:val="Strong"/>
          <w:b w:val="0"/>
          <w:bCs w:val="0"/>
        </w:rPr>
      </w:pPr>
      <w:r w:rsidRPr="005A734E">
        <w:rPr>
          <w:rStyle w:val="Strong"/>
          <w:b w:val="0"/>
          <w:bCs w:val="0"/>
        </w:rPr>
        <w:t>Summary</w:t>
      </w:r>
    </w:p>
    <w:p w14:paraId="6CBEA20E" w14:textId="196AA6B0" w:rsidR="00571755" w:rsidRDefault="003E6A2B" w:rsidP="003E6A2B">
      <w:r>
        <w:t xml:space="preserve">Whilst </w:t>
      </w:r>
      <w:proofErr w:type="gramStart"/>
      <w:r>
        <w:t>the majority of</w:t>
      </w:r>
      <w:proofErr w:type="gramEnd"/>
      <w:r>
        <w:t xml:space="preserve"> our patients and visitors are polite and respectful of our staff, there is a small minority who are not.  Their treatment of our staff causes us concern – more so when we perceive this is motivated by race. </w:t>
      </w:r>
      <w:r w:rsidR="00571755">
        <w:t>Over the last 5 years,</w:t>
      </w:r>
      <w:r>
        <w:t xml:space="preserve"> our staff are telling us that their</w:t>
      </w:r>
      <w:r w:rsidR="00571755">
        <w:t xml:space="preserve"> treatment </w:t>
      </w:r>
      <w:r>
        <w:t xml:space="preserve">from </w:t>
      </w:r>
      <w:r w:rsidR="00571755">
        <w:t>the public has improved – for white staff, the improvements are</w:t>
      </w:r>
      <w:r>
        <w:t xml:space="preserve"> gaining traction</w:t>
      </w:r>
      <w:r w:rsidR="00571755">
        <w:t xml:space="preserve"> but for BAME staff, the improvements are slow and small. </w:t>
      </w:r>
      <w:r>
        <w:t xml:space="preserve"> This means that the </w:t>
      </w:r>
      <w:r w:rsidR="00571755">
        <w:t xml:space="preserve">differential experience of white staff and BAME staff is </w:t>
      </w:r>
      <w:proofErr w:type="gramStart"/>
      <w:r w:rsidR="00571755">
        <w:t>opening up</w:t>
      </w:r>
      <w:proofErr w:type="gramEnd"/>
      <w:r w:rsidR="00571755">
        <w:t xml:space="preserve"> again and is cause for concern and action planning</w:t>
      </w:r>
      <w:r w:rsidR="005A734E">
        <w:t xml:space="preserve"> is already taking place to counter this trend</w:t>
      </w:r>
      <w:r w:rsidR="00571755">
        <w:t xml:space="preserve">. </w:t>
      </w:r>
    </w:p>
    <w:p w14:paraId="62B9E141" w14:textId="77777777" w:rsidR="001C547B" w:rsidRDefault="001C547B" w:rsidP="001C547B">
      <w:pPr>
        <w:pStyle w:val="ListParagraph"/>
        <w:tabs>
          <w:tab w:val="left" w:pos="6543"/>
        </w:tabs>
        <w:ind w:left="1080"/>
      </w:pPr>
    </w:p>
    <w:p w14:paraId="10E82762" w14:textId="4AFFD957" w:rsidR="0016288F" w:rsidRPr="00252756" w:rsidRDefault="0016288F" w:rsidP="001A2FD7">
      <w:pPr>
        <w:pStyle w:val="Heading1"/>
        <w:rPr>
          <w:rStyle w:val="Strong"/>
          <w:b/>
          <w:bCs w:val="0"/>
          <w:color w:val="70AD47" w:themeColor="accent6"/>
        </w:rPr>
      </w:pPr>
      <w:bookmarkStart w:id="8" w:name="_Toc107844786"/>
      <w:r w:rsidRPr="00252756">
        <w:rPr>
          <w:rStyle w:val="Strong"/>
          <w:b/>
          <w:bCs w:val="0"/>
          <w:color w:val="70AD47" w:themeColor="accent6"/>
        </w:rPr>
        <w:t xml:space="preserve">Indicator 6 – Percentage of staff experiencing bullying, </w:t>
      </w:r>
      <w:proofErr w:type="gramStart"/>
      <w:r w:rsidRPr="00252756">
        <w:rPr>
          <w:rStyle w:val="Strong"/>
          <w:b/>
          <w:bCs w:val="0"/>
          <w:color w:val="70AD47" w:themeColor="accent6"/>
        </w:rPr>
        <w:t>harassment</w:t>
      </w:r>
      <w:proofErr w:type="gramEnd"/>
      <w:r w:rsidRPr="00252756">
        <w:rPr>
          <w:rStyle w:val="Strong"/>
          <w:b/>
          <w:bCs w:val="0"/>
          <w:color w:val="70AD47" w:themeColor="accent6"/>
        </w:rPr>
        <w:t xml:space="preserve"> or abuse from staff in the last 12 months</w:t>
      </w:r>
      <w:bookmarkEnd w:id="8"/>
    </w:p>
    <w:p w14:paraId="362047B3" w14:textId="3909199C" w:rsidR="0016288F" w:rsidRDefault="0016288F" w:rsidP="006908CB">
      <w:pPr>
        <w:tabs>
          <w:tab w:val="left" w:pos="6543"/>
        </w:tabs>
      </w:pPr>
    </w:p>
    <w:p w14:paraId="2D284685" w14:textId="7D732CAA" w:rsidR="0016288F" w:rsidRDefault="0016288F" w:rsidP="00DF4855">
      <w:r>
        <w:t xml:space="preserve">This indicator is drawn from staff survey results and is disaggregated </w:t>
      </w:r>
      <w:r w:rsidR="00DA7F34">
        <w:t xml:space="preserve">by ethnicity </w:t>
      </w:r>
      <w:r>
        <w:t>to show the differential treatment by</w:t>
      </w:r>
      <w:r w:rsidR="000C5F8D">
        <w:t xml:space="preserve"> staff </w:t>
      </w:r>
      <w:r w:rsidR="003E6A2B">
        <w:t>from colleagues</w:t>
      </w:r>
      <w:r>
        <w:t>.  It is</w:t>
      </w:r>
      <w:r w:rsidR="005A734E">
        <w:t xml:space="preserve"> an </w:t>
      </w:r>
      <w:r>
        <w:t xml:space="preserve">indicator for racism.  </w:t>
      </w:r>
      <w:r w:rsidR="00582C9C">
        <w:t xml:space="preserve">It also shows </w:t>
      </w:r>
      <w:r w:rsidR="000C5F8D">
        <w:t xml:space="preserve">workforce </w:t>
      </w:r>
      <w:r w:rsidR="00582C9C">
        <w:t>attitudes – both covert and overt</w:t>
      </w:r>
      <w:r w:rsidR="00700BC5">
        <w:t>, and conscious and unconscious</w:t>
      </w:r>
      <w:r w:rsidR="00582C9C">
        <w:t xml:space="preserve"> – of how each of us </w:t>
      </w:r>
      <w:r w:rsidR="00D02B51">
        <w:t xml:space="preserve">actively includes (or otherwise) people who look, </w:t>
      </w:r>
      <w:proofErr w:type="gramStart"/>
      <w:r w:rsidR="00D02B51">
        <w:t>talk</w:t>
      </w:r>
      <w:proofErr w:type="gramEnd"/>
      <w:r w:rsidR="00D02B51">
        <w:t xml:space="preserve"> and behave culturally</w:t>
      </w:r>
      <w:r w:rsidR="003E6A2B">
        <w:t xml:space="preserve"> diversely</w:t>
      </w:r>
      <w:r w:rsidR="00D02B51">
        <w:t xml:space="preserve">.  </w:t>
      </w:r>
    </w:p>
    <w:p w14:paraId="70075E5D" w14:textId="7C2C1507" w:rsidR="00CF4F05" w:rsidRDefault="00CF4F05" w:rsidP="00CF4F05">
      <w:pPr>
        <w:pStyle w:val="ListParagraph"/>
        <w:numPr>
          <w:ilvl w:val="0"/>
          <w:numId w:val="1"/>
        </w:numPr>
      </w:pPr>
      <w:r>
        <w:lastRenderedPageBreak/>
        <w:t>Staff in white communities have told us that 21.8% of them have experienced inappropriate behaviour from other staff members.</w:t>
      </w:r>
    </w:p>
    <w:p w14:paraId="2F7F0395" w14:textId="5F9904AC" w:rsidR="00CF4F05" w:rsidRDefault="00CF4F05" w:rsidP="00F0285A">
      <w:pPr>
        <w:pStyle w:val="ListParagraph"/>
        <w:numPr>
          <w:ilvl w:val="0"/>
          <w:numId w:val="1"/>
        </w:numPr>
      </w:pPr>
      <w:r>
        <w:t xml:space="preserve">Staff in BAME communities have told us that 23.6% of them have experienced inappropriate behaviour from other staff members; </w:t>
      </w:r>
      <w:r w:rsidRPr="00CF4F05">
        <w:rPr>
          <w:b/>
          <w:bCs/>
        </w:rPr>
        <w:t>a differential of 1.8 percentage points.</w:t>
      </w:r>
    </w:p>
    <w:p w14:paraId="7C73C90B" w14:textId="5B8F20C9" w:rsidR="007F308C" w:rsidRDefault="00DA2A55" w:rsidP="00CF4F05">
      <w:pPr>
        <w:ind w:firstLine="720"/>
      </w:pPr>
      <w:r>
        <w:rPr>
          <w:noProof/>
        </w:rPr>
        <w:drawing>
          <wp:inline distT="0" distB="0" distL="0" distR="0" wp14:anchorId="1CE9A0CE" wp14:editId="60F56400">
            <wp:extent cx="4292600" cy="2209800"/>
            <wp:effectExtent l="0" t="0" r="12700" b="0"/>
            <wp:docPr id="18" name="Chart 18">
              <a:extLst xmlns:a="http://schemas.openxmlformats.org/drawingml/2006/main">
                <a:ext uri="{FF2B5EF4-FFF2-40B4-BE49-F238E27FC236}">
                  <a16:creationId xmlns:a16="http://schemas.microsoft.com/office/drawing/2014/main" id="{93CA025A-56BA-4307-AF43-2DD8BD9D0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0A3C4D" w14:textId="762E2295" w:rsidR="00F0285A" w:rsidRPr="00416EB6" w:rsidRDefault="00F0285A" w:rsidP="00F0285A">
      <w:pPr>
        <w:jc w:val="right"/>
        <w:rPr>
          <w:i/>
          <w:iCs/>
        </w:rPr>
      </w:pPr>
      <w:r w:rsidRPr="00416EB6">
        <w:rPr>
          <w:i/>
          <w:iCs/>
        </w:rPr>
        <w:t xml:space="preserve">Figure </w:t>
      </w:r>
      <w:r w:rsidR="002E0C47">
        <w:rPr>
          <w:i/>
          <w:iCs/>
        </w:rPr>
        <w:t>7</w:t>
      </w:r>
      <w:r w:rsidRPr="00416EB6">
        <w:rPr>
          <w:i/>
          <w:iCs/>
        </w:rPr>
        <w:t xml:space="preserve">: </w:t>
      </w:r>
      <w:r>
        <w:rPr>
          <w:i/>
          <w:iCs/>
        </w:rPr>
        <w:t>Staff experience of bullying from other staff in last 12 months</w:t>
      </w:r>
    </w:p>
    <w:p w14:paraId="25241633" w14:textId="611DC3A2" w:rsidR="007F308C" w:rsidRDefault="007F308C" w:rsidP="005A734E">
      <w:pPr>
        <w:pStyle w:val="Heading2"/>
        <w:rPr>
          <w:rStyle w:val="Strong"/>
          <w:b w:val="0"/>
          <w:bCs w:val="0"/>
        </w:rPr>
      </w:pPr>
      <w:bookmarkStart w:id="9" w:name="_Toc107844789"/>
      <w:r w:rsidRPr="005A734E">
        <w:rPr>
          <w:rStyle w:val="Strong"/>
          <w:b w:val="0"/>
          <w:bCs w:val="0"/>
        </w:rPr>
        <w:t xml:space="preserve">Summary </w:t>
      </w:r>
      <w:bookmarkEnd w:id="9"/>
    </w:p>
    <w:p w14:paraId="1749EB64" w14:textId="171676D4" w:rsidR="00DA692D" w:rsidRDefault="00C3006C" w:rsidP="003E6A2B">
      <w:r>
        <w:t xml:space="preserve">As you would expect, most staff relationships at BEH are professional and respectful.  We all work hard in our respective roles, and managers work to ensure our contribution is valued.  However, there are times when staff relationships suffer and </w:t>
      </w:r>
      <w:proofErr w:type="gramStart"/>
      <w:r>
        <w:t>deteriorate</w:t>
      </w:r>
      <w:proofErr w:type="gramEnd"/>
      <w:r>
        <w:t xml:space="preserve"> and this is an area of work that is always in scrutiny.  Following a very difficult couple of years for everyone during COVID-19, it is good to note that s</w:t>
      </w:r>
      <w:r w:rsidR="00F671AE">
        <w:t xml:space="preserve">taff experience of bullying harassment and abuse </w:t>
      </w:r>
      <w:r w:rsidR="009133C4">
        <w:t>is</w:t>
      </w:r>
      <w:r w:rsidR="00F671AE">
        <w:t xml:space="preserve"> declining for both white and non-white groups</w:t>
      </w:r>
      <w:r w:rsidR="009133C4">
        <w:t xml:space="preserve">, and the differential </w:t>
      </w:r>
      <w:r w:rsidR="00F0285A">
        <w:t xml:space="preserve">gap </w:t>
      </w:r>
      <w:r w:rsidR="009133C4">
        <w:t xml:space="preserve">is </w:t>
      </w:r>
      <w:r w:rsidR="00F0285A">
        <w:t>closing</w:t>
      </w:r>
      <w:r w:rsidR="009133C4">
        <w:t>.</w:t>
      </w:r>
      <w:r w:rsidR="003E6A2B">
        <w:t xml:space="preserve">  </w:t>
      </w:r>
      <w:r w:rsidR="00DA692D">
        <w:t xml:space="preserve">BAME staff </w:t>
      </w:r>
      <w:r w:rsidR="00BF26D6">
        <w:t>incidence of bullying</w:t>
      </w:r>
      <w:r w:rsidR="00DA692D">
        <w:t xml:space="preserve"> is improving at the fastest rate. </w:t>
      </w:r>
    </w:p>
    <w:p w14:paraId="6242C316" w14:textId="2E4C61E1" w:rsidR="007F308C" w:rsidRPr="009133C4" w:rsidRDefault="007F308C" w:rsidP="001A2FD7">
      <w:pPr>
        <w:pStyle w:val="Heading1"/>
        <w:rPr>
          <w:rStyle w:val="Strong"/>
          <w:b/>
          <w:bCs w:val="0"/>
          <w:color w:val="70AD47" w:themeColor="accent6"/>
        </w:rPr>
      </w:pPr>
      <w:bookmarkStart w:id="10" w:name="_Toc107844790"/>
      <w:r w:rsidRPr="009133C4">
        <w:rPr>
          <w:rStyle w:val="Strong"/>
          <w:b/>
          <w:bCs w:val="0"/>
          <w:color w:val="70AD47" w:themeColor="accent6"/>
        </w:rPr>
        <w:t xml:space="preserve">Indicator 7 – </w:t>
      </w:r>
      <w:r w:rsidR="00BB3D43" w:rsidRPr="009133C4">
        <w:rPr>
          <w:rStyle w:val="Strong"/>
          <w:b/>
          <w:bCs w:val="0"/>
          <w:color w:val="70AD47" w:themeColor="accent6"/>
        </w:rPr>
        <w:t xml:space="preserve">percentage of staff who believe that BEH provides an equal opportunity for career progression </w:t>
      </w:r>
      <w:r w:rsidR="00B0507C" w:rsidRPr="009133C4">
        <w:rPr>
          <w:rStyle w:val="Strong"/>
          <w:b/>
          <w:bCs w:val="0"/>
          <w:color w:val="70AD47" w:themeColor="accent6"/>
        </w:rPr>
        <w:t>or promotion</w:t>
      </w:r>
      <w:bookmarkEnd w:id="10"/>
      <w:r w:rsidR="00B0507C" w:rsidRPr="009133C4">
        <w:rPr>
          <w:rStyle w:val="Strong"/>
          <w:b/>
          <w:bCs w:val="0"/>
          <w:color w:val="70AD47" w:themeColor="accent6"/>
        </w:rPr>
        <w:t xml:space="preserve"> </w:t>
      </w:r>
    </w:p>
    <w:p w14:paraId="554B0CAF" w14:textId="77777777" w:rsidR="00E23853" w:rsidRDefault="00E23853" w:rsidP="00E23853"/>
    <w:p w14:paraId="3221343D" w14:textId="24404AFA" w:rsidR="00E23853" w:rsidRDefault="00E23853" w:rsidP="00E23853">
      <w:r>
        <w:t>This indicator is the only ‘</w:t>
      </w:r>
      <w:r w:rsidRPr="00DA692D">
        <w:t>perception</w:t>
      </w:r>
      <w:r>
        <w:t xml:space="preserve">’ indicator in the WRES dataset; the inference is that not only does the Trust need to be carrying out equality interventions, but it needs to be seen to be doing so by staff.  This increases the confidence of staff with diverse ethnicity to apply for training and promotion </w:t>
      </w:r>
      <w:r w:rsidR="00074450">
        <w:t>as opportunities</w:t>
      </w:r>
      <w:r>
        <w:t xml:space="preserve"> become available. </w:t>
      </w:r>
    </w:p>
    <w:p w14:paraId="168FFE2E" w14:textId="77777777" w:rsidR="00D10B7D" w:rsidRDefault="00D10B7D" w:rsidP="00D10B7D">
      <w:pPr>
        <w:pStyle w:val="ListParagraph"/>
        <w:numPr>
          <w:ilvl w:val="0"/>
          <w:numId w:val="1"/>
        </w:numPr>
      </w:pPr>
      <w:r>
        <w:t xml:space="preserve">52.8% of staff in white communities at BEH hold the belief that the Trust will offer them fair, equitable career progression opportunities and promotion </w:t>
      </w:r>
    </w:p>
    <w:p w14:paraId="2D16DC3D" w14:textId="4F94DC62" w:rsidR="00D10B7D" w:rsidRPr="00E73B2D" w:rsidRDefault="00D10B7D" w:rsidP="00D10B7D">
      <w:pPr>
        <w:pStyle w:val="ListParagraph"/>
        <w:numPr>
          <w:ilvl w:val="0"/>
          <w:numId w:val="1"/>
        </w:numPr>
      </w:pPr>
      <w:r>
        <w:t xml:space="preserve">46.8%% of staff in BAME communities hold the belief that the Trust will offer them fair, equitable career progression opportunities and promotion – meaning there is </w:t>
      </w:r>
      <w:r w:rsidRPr="004C4715">
        <w:rPr>
          <w:b/>
          <w:bCs/>
        </w:rPr>
        <w:t xml:space="preserve">a </w:t>
      </w:r>
      <w:proofErr w:type="gramStart"/>
      <w:r w:rsidRPr="004C4715">
        <w:rPr>
          <w:b/>
          <w:bCs/>
        </w:rPr>
        <w:t>six percentage</w:t>
      </w:r>
      <w:proofErr w:type="gramEnd"/>
      <w:r w:rsidRPr="004C4715">
        <w:rPr>
          <w:b/>
          <w:bCs/>
        </w:rPr>
        <w:t xml:space="preserve"> point differential between BAME and white staff members</w:t>
      </w:r>
    </w:p>
    <w:p w14:paraId="1CD78853" w14:textId="77777777" w:rsidR="00E73B2D" w:rsidRDefault="00E73B2D" w:rsidP="00E73B2D">
      <w:pPr>
        <w:pStyle w:val="ListParagraph"/>
        <w:ind w:left="1080"/>
      </w:pPr>
    </w:p>
    <w:p w14:paraId="2F6C83A5" w14:textId="3862F7C9" w:rsidR="00256CD3" w:rsidRDefault="008104C2" w:rsidP="00025EDE">
      <w:pPr>
        <w:ind w:firstLine="720"/>
      </w:pPr>
      <w:r>
        <w:rPr>
          <w:noProof/>
        </w:rPr>
        <w:lastRenderedPageBreak/>
        <w:drawing>
          <wp:inline distT="0" distB="0" distL="0" distR="0" wp14:anchorId="47C8ABFE" wp14:editId="21664403">
            <wp:extent cx="4889500" cy="2911475"/>
            <wp:effectExtent l="0" t="0" r="6350" b="3175"/>
            <wp:docPr id="16" name="Chart 16">
              <a:extLst xmlns:a="http://schemas.openxmlformats.org/drawingml/2006/main">
                <a:ext uri="{FF2B5EF4-FFF2-40B4-BE49-F238E27FC236}">
                  <a16:creationId xmlns:a16="http://schemas.microsoft.com/office/drawing/2014/main" id="{7B0CB307-7EDB-4251-AB48-A00E34D1B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96C52B" w14:textId="6E0FD54F" w:rsidR="00F0285A" w:rsidRPr="00416EB6" w:rsidRDefault="00F0285A" w:rsidP="00F0285A">
      <w:pPr>
        <w:jc w:val="right"/>
        <w:rPr>
          <w:i/>
          <w:iCs/>
        </w:rPr>
      </w:pPr>
      <w:r w:rsidRPr="00416EB6">
        <w:rPr>
          <w:i/>
          <w:iCs/>
        </w:rPr>
        <w:t xml:space="preserve">Figure </w:t>
      </w:r>
      <w:r w:rsidR="002E0C47">
        <w:rPr>
          <w:i/>
          <w:iCs/>
        </w:rPr>
        <w:t>8</w:t>
      </w:r>
      <w:r w:rsidRPr="00416EB6">
        <w:rPr>
          <w:i/>
          <w:iCs/>
        </w:rPr>
        <w:t xml:space="preserve">: </w:t>
      </w:r>
      <w:r w:rsidR="00BF26D6">
        <w:rPr>
          <w:i/>
          <w:iCs/>
        </w:rPr>
        <w:t>staff perception of equal opportunities for progression and promotion 2021-22</w:t>
      </w:r>
    </w:p>
    <w:p w14:paraId="008DC5C1" w14:textId="77777777" w:rsidR="003033BA" w:rsidRDefault="003033BA" w:rsidP="001A2FD7"/>
    <w:p w14:paraId="22091EA2" w14:textId="381E78D2" w:rsidR="001A2FD7" w:rsidRPr="00E23853" w:rsidRDefault="001A2FD7" w:rsidP="00E23853">
      <w:pPr>
        <w:pStyle w:val="Heading2"/>
        <w:rPr>
          <w:rStyle w:val="Strong"/>
          <w:b w:val="0"/>
          <w:bCs w:val="0"/>
        </w:rPr>
      </w:pPr>
      <w:bookmarkStart w:id="11" w:name="_Toc107844793"/>
      <w:r w:rsidRPr="00E23853">
        <w:rPr>
          <w:rStyle w:val="Strong"/>
          <w:b w:val="0"/>
          <w:bCs w:val="0"/>
        </w:rPr>
        <w:t xml:space="preserve">Summary </w:t>
      </w:r>
      <w:bookmarkEnd w:id="11"/>
    </w:p>
    <w:p w14:paraId="0DED5D24" w14:textId="71D14ECB" w:rsidR="00E23853" w:rsidRDefault="001E1190" w:rsidP="00074450">
      <w:r>
        <w:t xml:space="preserve">BEH has a </w:t>
      </w:r>
      <w:proofErr w:type="gramStart"/>
      <w:r>
        <w:t>6 percentage</w:t>
      </w:r>
      <w:proofErr w:type="gramEnd"/>
      <w:r>
        <w:t xml:space="preserve"> point differential between staff from BAME communities and those from white communities, around how fairly they </w:t>
      </w:r>
      <w:r w:rsidR="006D76AC">
        <w:t>believe</w:t>
      </w:r>
      <w:r>
        <w:t xml:space="preserve"> they’ll be treated when applying for training or promotion opportunities. </w:t>
      </w:r>
      <w:r w:rsidR="00074450">
        <w:t xml:space="preserve"> </w:t>
      </w:r>
      <w:r w:rsidR="00023BA2">
        <w:t xml:space="preserve">The </w:t>
      </w:r>
      <w:proofErr w:type="gramStart"/>
      <w:r w:rsidR="00023BA2">
        <w:t>year on year</w:t>
      </w:r>
      <w:proofErr w:type="gramEnd"/>
      <w:r w:rsidR="00023BA2">
        <w:t xml:space="preserve"> trend is </w:t>
      </w:r>
      <w:r w:rsidR="00E23853">
        <w:t xml:space="preserve">improving, </w:t>
      </w:r>
      <w:r w:rsidR="00023BA2">
        <w:t xml:space="preserve">in terms of </w:t>
      </w:r>
      <w:r w:rsidR="00074450">
        <w:t xml:space="preserve">numbers of staff in BAME communities believing the Trust will afford them equality of opportunity, thereby </w:t>
      </w:r>
      <w:r w:rsidR="00023BA2">
        <w:t>eroding the differential</w:t>
      </w:r>
      <w:r w:rsidR="00074450">
        <w:t xml:space="preserve"> data</w:t>
      </w:r>
      <w:r w:rsidR="00023BA2">
        <w:t xml:space="preserve">.  </w:t>
      </w:r>
    </w:p>
    <w:p w14:paraId="57698C9A" w14:textId="546D2E2A" w:rsidR="001A2FD7" w:rsidRPr="00EE51E3" w:rsidRDefault="001A2FD7" w:rsidP="001A2FD7">
      <w:pPr>
        <w:pStyle w:val="Heading1"/>
        <w:rPr>
          <w:rStyle w:val="Strong"/>
          <w:b/>
          <w:bCs w:val="0"/>
          <w:color w:val="70AD47" w:themeColor="accent6"/>
        </w:rPr>
      </w:pPr>
      <w:bookmarkStart w:id="12" w:name="_Toc107844794"/>
      <w:r w:rsidRPr="00EE51E3">
        <w:rPr>
          <w:rStyle w:val="Strong"/>
          <w:b/>
          <w:bCs w:val="0"/>
          <w:color w:val="70AD47" w:themeColor="accent6"/>
        </w:rPr>
        <w:t xml:space="preserve">Indicator 8 – </w:t>
      </w:r>
      <w:r w:rsidR="00D05BD6" w:rsidRPr="00EE51E3">
        <w:rPr>
          <w:rStyle w:val="Strong"/>
          <w:b/>
          <w:bCs w:val="0"/>
          <w:color w:val="70AD47" w:themeColor="accent6"/>
        </w:rPr>
        <w:t xml:space="preserve">percentage of staff who have </w:t>
      </w:r>
      <w:r w:rsidR="00667770" w:rsidRPr="00EE51E3">
        <w:rPr>
          <w:rStyle w:val="Strong"/>
          <w:b/>
          <w:bCs w:val="0"/>
          <w:color w:val="70AD47" w:themeColor="accent6"/>
        </w:rPr>
        <w:t xml:space="preserve">personally </w:t>
      </w:r>
      <w:r w:rsidR="00D05BD6" w:rsidRPr="00EE51E3">
        <w:rPr>
          <w:rStyle w:val="Strong"/>
          <w:b/>
          <w:bCs w:val="0"/>
          <w:color w:val="70AD47" w:themeColor="accent6"/>
        </w:rPr>
        <w:t xml:space="preserve">experienced </w:t>
      </w:r>
      <w:r w:rsidR="00667770" w:rsidRPr="00EE51E3">
        <w:rPr>
          <w:rStyle w:val="Strong"/>
          <w:b/>
          <w:bCs w:val="0"/>
          <w:color w:val="70AD47" w:themeColor="accent6"/>
        </w:rPr>
        <w:t xml:space="preserve">discrimination at work </w:t>
      </w:r>
      <w:r w:rsidR="005A3D4F" w:rsidRPr="00EE51E3">
        <w:rPr>
          <w:rStyle w:val="Strong"/>
          <w:b/>
          <w:bCs w:val="0"/>
          <w:color w:val="70AD47" w:themeColor="accent6"/>
        </w:rPr>
        <w:t>from a manager, team leader or other colleague</w:t>
      </w:r>
      <w:bookmarkEnd w:id="12"/>
      <w:r w:rsidR="005A3D4F" w:rsidRPr="00EE51E3">
        <w:rPr>
          <w:rStyle w:val="Strong"/>
          <w:b/>
          <w:bCs w:val="0"/>
          <w:color w:val="70AD47" w:themeColor="accent6"/>
        </w:rPr>
        <w:t xml:space="preserve"> </w:t>
      </w:r>
    </w:p>
    <w:p w14:paraId="0743D46E" w14:textId="0F47FF32" w:rsidR="001A2FD7" w:rsidRDefault="001A2FD7" w:rsidP="001A2FD7"/>
    <w:p w14:paraId="5815E9D8" w14:textId="33A18DB5" w:rsidR="003017DA" w:rsidRDefault="003017DA" w:rsidP="001A2FD7">
      <w:r>
        <w:t xml:space="preserve">This indicator measures </w:t>
      </w:r>
      <w:r w:rsidRPr="00AF738C">
        <w:rPr>
          <w:i/>
          <w:iCs/>
        </w:rPr>
        <w:t>all-protected characteristic discrimination</w:t>
      </w:r>
      <w:r>
        <w:t xml:space="preserve"> that is experienced by</w:t>
      </w:r>
      <w:r w:rsidR="00AF738C">
        <w:t xml:space="preserve"> our staff, disaggregated by ethnicity. </w:t>
      </w:r>
      <w:r>
        <w:t xml:space="preserve">It is our best indicator to understand </w:t>
      </w:r>
      <w:r w:rsidR="00063CD4">
        <w:t xml:space="preserve">race and </w:t>
      </w:r>
      <w:r>
        <w:t xml:space="preserve">‘intersectionality’ </w:t>
      </w:r>
      <w:proofErr w:type="gramStart"/>
      <w:r>
        <w:t>e.g.</w:t>
      </w:r>
      <w:proofErr w:type="gramEnd"/>
      <w:r>
        <w:t xml:space="preserve"> the experience of being a unique individual, w</w:t>
      </w:r>
      <w:r w:rsidR="008359AA">
        <w:t xml:space="preserve">here diverse characteristics compound one another in terms of the </w:t>
      </w:r>
      <w:r w:rsidR="00CE2176">
        <w:t>treatment receive</w:t>
      </w:r>
      <w:r w:rsidR="00063CD4">
        <w:t>d</w:t>
      </w:r>
      <w:r w:rsidR="008359AA">
        <w:t xml:space="preserve">.  </w:t>
      </w:r>
      <w:r>
        <w:t xml:space="preserve"> </w:t>
      </w:r>
    </w:p>
    <w:p w14:paraId="7C92A7CE" w14:textId="6CFEFDE7" w:rsidR="005A3D4F" w:rsidRDefault="005A3D4F" w:rsidP="001A2FD7">
      <w:pPr>
        <w:pStyle w:val="Heading2"/>
        <w:rPr>
          <w:rStyle w:val="Strong"/>
        </w:rPr>
      </w:pPr>
    </w:p>
    <w:p w14:paraId="03087A51" w14:textId="77777777" w:rsidR="00356D30" w:rsidRDefault="00356D30" w:rsidP="00356D30">
      <w:pPr>
        <w:pStyle w:val="ListParagraph"/>
        <w:numPr>
          <w:ilvl w:val="0"/>
          <w:numId w:val="1"/>
        </w:numPr>
      </w:pPr>
      <w:r>
        <w:t>Staff in white communities have told us that 9% of them have experienced discrimination at work from another colleague/manager.</w:t>
      </w:r>
    </w:p>
    <w:p w14:paraId="7749314A" w14:textId="1BBE4988" w:rsidR="00356D30" w:rsidRPr="00C01AFC" w:rsidRDefault="00356D30" w:rsidP="00356D30">
      <w:pPr>
        <w:pStyle w:val="ListParagraph"/>
        <w:numPr>
          <w:ilvl w:val="0"/>
          <w:numId w:val="1"/>
        </w:numPr>
      </w:pPr>
      <w:r>
        <w:t xml:space="preserve">Staff in BAME communities have told us that 14.4% of them have experienced discrimination at work from another colleague/manager; </w:t>
      </w:r>
      <w:r w:rsidRPr="003017DA">
        <w:rPr>
          <w:b/>
          <w:bCs/>
        </w:rPr>
        <w:t>a differential experience of 5.4 percentage points.</w:t>
      </w:r>
    </w:p>
    <w:p w14:paraId="349175DF" w14:textId="77777777" w:rsidR="006D76AC" w:rsidRDefault="006D76AC" w:rsidP="00544ED2"/>
    <w:p w14:paraId="6E17A0D9" w14:textId="4B63BAE9" w:rsidR="00C01AFC" w:rsidRDefault="002F4DBE" w:rsidP="00544ED2">
      <w:r>
        <w:rPr>
          <w:noProof/>
        </w:rPr>
        <w:lastRenderedPageBreak/>
        <w:drawing>
          <wp:inline distT="0" distB="0" distL="0" distR="0" wp14:anchorId="78C3FB57" wp14:editId="118E3AC2">
            <wp:extent cx="4572000" cy="2743200"/>
            <wp:effectExtent l="0" t="0" r="0" b="0"/>
            <wp:docPr id="8" name="Chart 8">
              <a:extLst xmlns:a="http://schemas.openxmlformats.org/drawingml/2006/main">
                <a:ext uri="{FF2B5EF4-FFF2-40B4-BE49-F238E27FC236}">
                  <a16:creationId xmlns:a16="http://schemas.microsoft.com/office/drawing/2014/main" id="{34972F7B-66FE-42CC-A07A-9D185D60E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D0EBED" w14:textId="2D4A523A" w:rsidR="00544ED2" w:rsidRPr="006D76AC" w:rsidRDefault="006D76AC" w:rsidP="006D76AC">
      <w:pPr>
        <w:jc w:val="right"/>
        <w:rPr>
          <w:i/>
          <w:iCs/>
        </w:rPr>
      </w:pPr>
      <w:r w:rsidRPr="006D76AC">
        <w:rPr>
          <w:i/>
          <w:iCs/>
        </w:rPr>
        <w:t xml:space="preserve">Figure </w:t>
      </w:r>
      <w:r w:rsidR="002E0C47">
        <w:rPr>
          <w:i/>
          <w:iCs/>
        </w:rPr>
        <w:t>9</w:t>
      </w:r>
      <w:r w:rsidRPr="006D76AC">
        <w:rPr>
          <w:i/>
          <w:iCs/>
        </w:rPr>
        <w:t>: percentage of staff who’ve experienced discrimination at work in last 12 months</w:t>
      </w:r>
    </w:p>
    <w:p w14:paraId="1860C653" w14:textId="77777777" w:rsidR="00544ED2" w:rsidRDefault="00544ED2" w:rsidP="00544ED2"/>
    <w:p w14:paraId="7861B4FF" w14:textId="27AEA500" w:rsidR="001A2FD7" w:rsidRPr="00E23853" w:rsidRDefault="001A2FD7" w:rsidP="00E23853">
      <w:pPr>
        <w:pStyle w:val="Heading2"/>
        <w:rPr>
          <w:rStyle w:val="Strong"/>
          <w:b w:val="0"/>
          <w:bCs w:val="0"/>
        </w:rPr>
      </w:pPr>
      <w:bookmarkStart w:id="13" w:name="_Toc107844797"/>
      <w:r w:rsidRPr="00E23853">
        <w:rPr>
          <w:rStyle w:val="Strong"/>
          <w:b w:val="0"/>
          <w:bCs w:val="0"/>
        </w:rPr>
        <w:t xml:space="preserve">Summary </w:t>
      </w:r>
      <w:bookmarkEnd w:id="13"/>
    </w:p>
    <w:p w14:paraId="71FCBED9" w14:textId="51B70E0A" w:rsidR="00E23853" w:rsidRPr="00E23853" w:rsidRDefault="00074450" w:rsidP="00E23853">
      <w:r>
        <w:t xml:space="preserve">Staff at BEH complete mandatory training on equality, </w:t>
      </w:r>
      <w:proofErr w:type="gramStart"/>
      <w:r>
        <w:t>diversity</w:t>
      </w:r>
      <w:proofErr w:type="gramEnd"/>
      <w:r>
        <w:t xml:space="preserve"> and inclusion in order to help them reflect on how to be fair and equitable at work. This training is important for everyone, but particularly managers and team leaders.  However, there are times when discrimination is still in effect, and the NHS Staff Survey asks our staff about these experiences.  </w:t>
      </w:r>
    </w:p>
    <w:p w14:paraId="71D4B2D1" w14:textId="35824455" w:rsidR="00074450" w:rsidRDefault="00C92F3D" w:rsidP="00074450">
      <w:pPr>
        <w:pStyle w:val="ListParagraph"/>
        <w:numPr>
          <w:ilvl w:val="0"/>
          <w:numId w:val="5"/>
        </w:numPr>
        <w:tabs>
          <w:tab w:val="left" w:pos="6543"/>
        </w:tabs>
      </w:pPr>
      <w:r>
        <w:t xml:space="preserve">9% of staff in white communities have experienced discrimination in last 12 months – this is 3 percentage points above all England benchmark averages.  </w:t>
      </w:r>
    </w:p>
    <w:p w14:paraId="349C0F7A" w14:textId="2ECA821C" w:rsidR="001A2FD7" w:rsidRDefault="00C92F3D" w:rsidP="00074450">
      <w:pPr>
        <w:pStyle w:val="ListParagraph"/>
        <w:numPr>
          <w:ilvl w:val="0"/>
          <w:numId w:val="5"/>
        </w:numPr>
        <w:tabs>
          <w:tab w:val="left" w:pos="6543"/>
        </w:tabs>
      </w:pPr>
      <w:r>
        <w:t xml:space="preserve">14.4% of staff in BAME communities have experienced discrimination in last 12 months – this is in line with all England </w:t>
      </w:r>
      <w:proofErr w:type="gramStart"/>
      <w:r>
        <w:t>benchmark</w:t>
      </w:r>
      <w:proofErr w:type="gramEnd"/>
      <w:r>
        <w:t>.</w:t>
      </w:r>
      <w:r w:rsidR="00515677">
        <w:t xml:space="preserve">  </w:t>
      </w:r>
    </w:p>
    <w:p w14:paraId="29EE4410" w14:textId="77777777" w:rsidR="00074450" w:rsidRPr="00074450" w:rsidRDefault="00074450" w:rsidP="00074450">
      <w:pPr>
        <w:pStyle w:val="ListParagraph"/>
        <w:tabs>
          <w:tab w:val="left" w:pos="6543"/>
        </w:tabs>
        <w:ind w:left="1080"/>
      </w:pPr>
    </w:p>
    <w:p w14:paraId="1772C531" w14:textId="3BA889CC" w:rsidR="001A2FD7" w:rsidRPr="00063CD4" w:rsidRDefault="001A2FD7" w:rsidP="001A2FD7">
      <w:pPr>
        <w:pStyle w:val="Heading1"/>
        <w:rPr>
          <w:rStyle w:val="Strong"/>
          <w:b/>
          <w:bCs w:val="0"/>
          <w:color w:val="70AD47" w:themeColor="accent6"/>
        </w:rPr>
      </w:pPr>
      <w:bookmarkStart w:id="14" w:name="_Toc107844798"/>
      <w:r w:rsidRPr="00063CD4">
        <w:rPr>
          <w:rStyle w:val="Strong"/>
          <w:b/>
          <w:bCs w:val="0"/>
          <w:color w:val="70AD47" w:themeColor="accent6"/>
        </w:rPr>
        <w:t xml:space="preserve">Indicator 9 – </w:t>
      </w:r>
      <w:r w:rsidR="003B69F6" w:rsidRPr="00063CD4">
        <w:rPr>
          <w:rStyle w:val="Strong"/>
          <w:b/>
          <w:bCs w:val="0"/>
          <w:color w:val="70AD47" w:themeColor="accent6"/>
        </w:rPr>
        <w:t xml:space="preserve">percentage of Trust Board Members by ethnicity compared with </w:t>
      </w:r>
      <w:r w:rsidR="00063CD4">
        <w:rPr>
          <w:rStyle w:val="Strong"/>
          <w:b/>
          <w:bCs w:val="0"/>
          <w:color w:val="70AD47" w:themeColor="accent6"/>
        </w:rPr>
        <w:t xml:space="preserve">wider </w:t>
      </w:r>
      <w:r w:rsidR="003B69F6" w:rsidRPr="00063CD4">
        <w:rPr>
          <w:rStyle w:val="Strong"/>
          <w:b/>
          <w:bCs w:val="0"/>
          <w:color w:val="70AD47" w:themeColor="accent6"/>
        </w:rPr>
        <w:t xml:space="preserve">workforce </w:t>
      </w:r>
      <w:r w:rsidR="00063CD4">
        <w:rPr>
          <w:rStyle w:val="Strong"/>
          <w:b/>
          <w:bCs w:val="0"/>
          <w:color w:val="70AD47" w:themeColor="accent6"/>
        </w:rPr>
        <w:t>ethnicity</w:t>
      </w:r>
      <w:bookmarkEnd w:id="14"/>
      <w:r w:rsidR="00114FDD" w:rsidRPr="00063CD4">
        <w:rPr>
          <w:rStyle w:val="Strong"/>
          <w:b/>
          <w:bCs w:val="0"/>
          <w:color w:val="70AD47" w:themeColor="accent6"/>
        </w:rPr>
        <w:t xml:space="preserve"> </w:t>
      </w:r>
    </w:p>
    <w:p w14:paraId="2903A20C" w14:textId="682B4BB0" w:rsidR="001A2FD7" w:rsidRDefault="001A2FD7" w:rsidP="001A2FD7"/>
    <w:p w14:paraId="4D56C858" w14:textId="513FCC63" w:rsidR="00114FDD" w:rsidRDefault="00114FDD" w:rsidP="001A2FD7">
      <w:r>
        <w:t>This indicator is important because it defines how representative the most senior levels of decision</w:t>
      </w:r>
      <w:r w:rsidR="00CD150C">
        <w:t>-</w:t>
      </w:r>
      <w:r>
        <w:t xml:space="preserve">making in the Trust are of the staff who work in it. </w:t>
      </w:r>
      <w:r w:rsidR="00CD150C">
        <w:t xml:space="preserve">  Historically, </w:t>
      </w:r>
      <w:r w:rsidR="00063CD4">
        <w:t>as well as</w:t>
      </w:r>
      <w:r w:rsidR="00CD150C">
        <w:t xml:space="preserve"> in London</w:t>
      </w:r>
      <w:r w:rsidR="00AA3D6C">
        <w:t xml:space="preserve"> and across England</w:t>
      </w:r>
      <w:r w:rsidR="00063CD4">
        <w:t xml:space="preserve"> currently</w:t>
      </w:r>
      <w:r w:rsidR="00CD150C">
        <w:t xml:space="preserve">, </w:t>
      </w:r>
      <w:r w:rsidR="00AA3D6C">
        <w:t xml:space="preserve">Trust </w:t>
      </w:r>
      <w:r w:rsidR="00CD150C">
        <w:t>Boards are not</w:t>
      </w:r>
      <w:r w:rsidR="00063CD4">
        <w:t xml:space="preserve"> ethnically</w:t>
      </w:r>
      <w:r w:rsidR="00CD150C">
        <w:t xml:space="preserve"> representative of </w:t>
      </w:r>
      <w:r w:rsidR="00063CD4">
        <w:t>their workforces</w:t>
      </w:r>
      <w:r w:rsidR="00053465">
        <w:t xml:space="preserve">.  This implies Trusts are not currently </w:t>
      </w:r>
      <w:r w:rsidR="006608FD">
        <w:t xml:space="preserve">harnessing the benefits of diversity in terms of innovative, </w:t>
      </w:r>
      <w:proofErr w:type="gramStart"/>
      <w:r w:rsidR="006608FD">
        <w:t>creative</w:t>
      </w:r>
      <w:proofErr w:type="gramEnd"/>
      <w:r w:rsidR="006608FD">
        <w:t xml:space="preserve"> and sustainable</w:t>
      </w:r>
      <w:r w:rsidR="00F62F9A">
        <w:t xml:space="preserve"> strategic steering and decision-making. </w:t>
      </w:r>
      <w:r w:rsidR="006608FD">
        <w:t xml:space="preserve"> </w:t>
      </w:r>
      <w:r w:rsidR="00042377">
        <w:t xml:space="preserve"> </w:t>
      </w:r>
      <w:r w:rsidR="00C74867">
        <w:t>Patients, members of the public and staff alike have increasing expectation</w:t>
      </w:r>
      <w:r w:rsidR="00C05B57">
        <w:t>s</w:t>
      </w:r>
      <w:r w:rsidR="00C74867">
        <w:t xml:space="preserve"> that </w:t>
      </w:r>
      <w:r w:rsidR="00C05B57">
        <w:t>decisions in NHS health services are made by people who look and talk like them</w:t>
      </w:r>
      <w:r w:rsidR="00BB3E6A">
        <w:t xml:space="preserve"> – the WRES helps Trusts respond to this expectation. </w:t>
      </w:r>
    </w:p>
    <w:p w14:paraId="399A85CC" w14:textId="77777777" w:rsidR="00E54F8D" w:rsidRDefault="00E54F8D" w:rsidP="00E54F8D"/>
    <w:tbl>
      <w:tblPr>
        <w:tblStyle w:val="TableGrid"/>
        <w:tblW w:w="0" w:type="auto"/>
        <w:tblLook w:val="04A0" w:firstRow="1" w:lastRow="0" w:firstColumn="1" w:lastColumn="0" w:noHBand="0" w:noVBand="1"/>
      </w:tblPr>
      <w:tblGrid>
        <w:gridCol w:w="3397"/>
        <w:gridCol w:w="1701"/>
        <w:gridCol w:w="1985"/>
        <w:gridCol w:w="1933"/>
      </w:tblGrid>
      <w:tr w:rsidR="00CA4697" w:rsidRPr="006F66B4" w14:paraId="5A030722" w14:textId="77777777" w:rsidTr="006F66B4">
        <w:tc>
          <w:tcPr>
            <w:tcW w:w="3397" w:type="dxa"/>
            <w:shd w:val="clear" w:color="auto" w:fill="E7E6E6" w:themeFill="background2"/>
          </w:tcPr>
          <w:p w14:paraId="7A0C1F6E" w14:textId="77777777" w:rsidR="00CA4697" w:rsidRPr="006F66B4" w:rsidRDefault="00CA4697" w:rsidP="001A2FD7">
            <w:pPr>
              <w:rPr>
                <w:b/>
                <w:bCs/>
              </w:rPr>
            </w:pPr>
          </w:p>
        </w:tc>
        <w:tc>
          <w:tcPr>
            <w:tcW w:w="1701" w:type="dxa"/>
            <w:shd w:val="clear" w:color="auto" w:fill="E7E6E6" w:themeFill="background2"/>
          </w:tcPr>
          <w:p w14:paraId="3E1EAF94" w14:textId="3318E402" w:rsidR="00CA4697" w:rsidRPr="006F66B4" w:rsidRDefault="00CA4697" w:rsidP="001A2FD7">
            <w:pPr>
              <w:rPr>
                <w:b/>
                <w:bCs/>
              </w:rPr>
            </w:pPr>
            <w:r w:rsidRPr="006F66B4">
              <w:rPr>
                <w:b/>
                <w:bCs/>
              </w:rPr>
              <w:t>Board Membership</w:t>
            </w:r>
            <w:r w:rsidR="00CA4E2D">
              <w:rPr>
                <w:b/>
                <w:bCs/>
              </w:rPr>
              <w:t xml:space="preserve"> – white communities </w:t>
            </w:r>
          </w:p>
        </w:tc>
        <w:tc>
          <w:tcPr>
            <w:tcW w:w="1985" w:type="dxa"/>
            <w:shd w:val="clear" w:color="auto" w:fill="E7E6E6" w:themeFill="background2"/>
          </w:tcPr>
          <w:p w14:paraId="3A429AE8" w14:textId="2EDEF33F" w:rsidR="00CA4697" w:rsidRPr="006F66B4" w:rsidRDefault="00CA4697" w:rsidP="001A2FD7">
            <w:pPr>
              <w:rPr>
                <w:b/>
                <w:bCs/>
              </w:rPr>
            </w:pPr>
            <w:r w:rsidRPr="006F66B4">
              <w:rPr>
                <w:b/>
                <w:bCs/>
              </w:rPr>
              <w:t>Board Membership</w:t>
            </w:r>
            <w:r w:rsidR="00CA4E2D">
              <w:rPr>
                <w:b/>
                <w:bCs/>
              </w:rPr>
              <w:t xml:space="preserve"> – BAME communities </w:t>
            </w:r>
          </w:p>
        </w:tc>
        <w:tc>
          <w:tcPr>
            <w:tcW w:w="1933" w:type="dxa"/>
            <w:shd w:val="clear" w:color="auto" w:fill="E7E6E6" w:themeFill="background2"/>
          </w:tcPr>
          <w:p w14:paraId="283D7D77" w14:textId="4FAB81C9" w:rsidR="00CA4697" w:rsidRPr="006F66B4" w:rsidRDefault="00CA4697" w:rsidP="001A2FD7">
            <w:pPr>
              <w:rPr>
                <w:b/>
                <w:bCs/>
              </w:rPr>
            </w:pPr>
            <w:r w:rsidRPr="006F66B4">
              <w:rPr>
                <w:b/>
                <w:bCs/>
              </w:rPr>
              <w:t xml:space="preserve">Board Membership </w:t>
            </w:r>
            <w:r w:rsidR="00CA4E2D">
              <w:rPr>
                <w:b/>
                <w:bCs/>
              </w:rPr>
              <w:t xml:space="preserve">- </w:t>
            </w:r>
            <w:r w:rsidRPr="006F66B4">
              <w:rPr>
                <w:b/>
                <w:bCs/>
              </w:rPr>
              <w:t>ethnicity not known</w:t>
            </w:r>
          </w:p>
        </w:tc>
      </w:tr>
      <w:tr w:rsidR="00CA4697" w14:paraId="7BDB64CF" w14:textId="77777777" w:rsidTr="00CA4E2D">
        <w:tc>
          <w:tcPr>
            <w:tcW w:w="3397" w:type="dxa"/>
          </w:tcPr>
          <w:p w14:paraId="41359970" w14:textId="61AB6EA1" w:rsidR="00CA4697" w:rsidRDefault="00A753E4" w:rsidP="001A2FD7">
            <w:r>
              <w:t>Total Board Members</w:t>
            </w:r>
            <w:r w:rsidR="00F57A7A">
              <w:t xml:space="preserve"> *</w:t>
            </w:r>
          </w:p>
        </w:tc>
        <w:tc>
          <w:tcPr>
            <w:tcW w:w="1701" w:type="dxa"/>
            <w:vAlign w:val="center"/>
          </w:tcPr>
          <w:p w14:paraId="404C41B8" w14:textId="0E537CBD" w:rsidR="00CA4697" w:rsidRDefault="00A753E4" w:rsidP="00CA4E2D">
            <w:pPr>
              <w:jc w:val="center"/>
            </w:pPr>
            <w:r>
              <w:t>10</w:t>
            </w:r>
          </w:p>
        </w:tc>
        <w:tc>
          <w:tcPr>
            <w:tcW w:w="1985" w:type="dxa"/>
            <w:vAlign w:val="center"/>
          </w:tcPr>
          <w:p w14:paraId="4881F620" w14:textId="33E523BF" w:rsidR="00CA4697" w:rsidRDefault="00A753E4" w:rsidP="00CA4E2D">
            <w:pPr>
              <w:jc w:val="center"/>
            </w:pPr>
            <w:r>
              <w:t>6</w:t>
            </w:r>
          </w:p>
        </w:tc>
        <w:tc>
          <w:tcPr>
            <w:tcW w:w="1933" w:type="dxa"/>
            <w:vAlign w:val="center"/>
          </w:tcPr>
          <w:p w14:paraId="3CCC1200" w14:textId="78991BFE" w:rsidR="00CA4697" w:rsidRDefault="00A753E4" w:rsidP="00CA4E2D">
            <w:pPr>
              <w:jc w:val="center"/>
            </w:pPr>
            <w:r>
              <w:t>2</w:t>
            </w:r>
          </w:p>
        </w:tc>
      </w:tr>
      <w:tr w:rsidR="00CA4697" w14:paraId="4868FD09" w14:textId="77777777" w:rsidTr="00CA4E2D">
        <w:tc>
          <w:tcPr>
            <w:tcW w:w="3397" w:type="dxa"/>
          </w:tcPr>
          <w:p w14:paraId="47BBDB1F" w14:textId="671E782C" w:rsidR="001005DA" w:rsidRPr="00B60FB0" w:rsidRDefault="001005DA" w:rsidP="001A2FD7">
            <w:pPr>
              <w:rPr>
                <w:i/>
                <w:iCs/>
              </w:rPr>
            </w:pPr>
            <w:r>
              <w:t xml:space="preserve">  </w:t>
            </w:r>
            <w:r w:rsidRPr="00B60FB0">
              <w:rPr>
                <w:i/>
                <w:iCs/>
              </w:rPr>
              <w:t>o</w:t>
            </w:r>
            <w:r w:rsidR="00A753E4" w:rsidRPr="00B60FB0">
              <w:rPr>
                <w:i/>
                <w:iCs/>
              </w:rPr>
              <w:t>f which</w:t>
            </w:r>
            <w:r w:rsidRPr="00B60FB0">
              <w:rPr>
                <w:i/>
                <w:iCs/>
              </w:rPr>
              <w:t>:</w:t>
            </w:r>
          </w:p>
          <w:p w14:paraId="1285424F" w14:textId="08C006A9" w:rsidR="00CA4697" w:rsidRDefault="001005DA" w:rsidP="001A2FD7">
            <w:r>
              <w:t xml:space="preserve">  </w:t>
            </w:r>
            <w:r w:rsidR="00A753E4">
              <w:t xml:space="preserve">Executive Board Members </w:t>
            </w:r>
            <w:r w:rsidR="00F57A7A">
              <w:t>*</w:t>
            </w:r>
          </w:p>
          <w:p w14:paraId="2AB75F19" w14:textId="51BFE9AA" w:rsidR="001005DA" w:rsidRDefault="001005DA" w:rsidP="001A2FD7">
            <w:r>
              <w:t xml:space="preserve">  Non-Executive Board Members</w:t>
            </w:r>
            <w:r w:rsidR="00F57A7A">
              <w:t xml:space="preserve"> * </w:t>
            </w:r>
            <w:r>
              <w:t xml:space="preserve"> </w:t>
            </w:r>
          </w:p>
        </w:tc>
        <w:tc>
          <w:tcPr>
            <w:tcW w:w="1701" w:type="dxa"/>
            <w:vAlign w:val="center"/>
          </w:tcPr>
          <w:p w14:paraId="39BD67EE" w14:textId="77777777" w:rsidR="00CA4697" w:rsidRDefault="00CA4697" w:rsidP="00CA4E2D">
            <w:pPr>
              <w:jc w:val="center"/>
            </w:pPr>
          </w:p>
          <w:p w14:paraId="071DCCE5" w14:textId="77777777" w:rsidR="001005DA" w:rsidRDefault="00B60FB0" w:rsidP="00CA4E2D">
            <w:pPr>
              <w:jc w:val="center"/>
            </w:pPr>
            <w:r>
              <w:t>6</w:t>
            </w:r>
          </w:p>
          <w:p w14:paraId="57C80C56" w14:textId="1D4A2384" w:rsidR="00B60FB0" w:rsidRDefault="00B60FB0" w:rsidP="00CA4E2D">
            <w:pPr>
              <w:jc w:val="center"/>
            </w:pPr>
            <w:r>
              <w:t>4</w:t>
            </w:r>
          </w:p>
        </w:tc>
        <w:tc>
          <w:tcPr>
            <w:tcW w:w="1985" w:type="dxa"/>
            <w:vAlign w:val="center"/>
          </w:tcPr>
          <w:p w14:paraId="1D029A3E" w14:textId="77777777" w:rsidR="00B60FB0" w:rsidRDefault="00B60FB0" w:rsidP="00CA4E2D">
            <w:pPr>
              <w:jc w:val="center"/>
            </w:pPr>
          </w:p>
          <w:p w14:paraId="242F29FC" w14:textId="77777777" w:rsidR="00CA4697" w:rsidRDefault="00B60FB0" w:rsidP="00CA4E2D">
            <w:pPr>
              <w:jc w:val="center"/>
            </w:pPr>
            <w:r>
              <w:t>2</w:t>
            </w:r>
          </w:p>
          <w:p w14:paraId="308E194F" w14:textId="406A5EA5" w:rsidR="00B60FB0" w:rsidRDefault="00B60FB0" w:rsidP="00CA4E2D">
            <w:pPr>
              <w:jc w:val="center"/>
            </w:pPr>
            <w:r>
              <w:t>4</w:t>
            </w:r>
          </w:p>
        </w:tc>
        <w:tc>
          <w:tcPr>
            <w:tcW w:w="1933" w:type="dxa"/>
            <w:vAlign w:val="center"/>
          </w:tcPr>
          <w:p w14:paraId="52189807" w14:textId="77777777" w:rsidR="00B60FB0" w:rsidRDefault="00B60FB0" w:rsidP="00CA4E2D">
            <w:pPr>
              <w:jc w:val="center"/>
            </w:pPr>
          </w:p>
          <w:p w14:paraId="4961B5C2" w14:textId="77777777" w:rsidR="00CA4697" w:rsidRDefault="00B60FB0" w:rsidP="00CA4E2D">
            <w:pPr>
              <w:jc w:val="center"/>
            </w:pPr>
            <w:r>
              <w:t>0</w:t>
            </w:r>
          </w:p>
          <w:p w14:paraId="566DABE9" w14:textId="067C5C4D" w:rsidR="00B60FB0" w:rsidRDefault="00AA2E38" w:rsidP="00CA4E2D">
            <w:pPr>
              <w:jc w:val="center"/>
            </w:pPr>
            <w:r>
              <w:t>2</w:t>
            </w:r>
          </w:p>
        </w:tc>
      </w:tr>
      <w:tr w:rsidR="00B60FB0" w14:paraId="3106A244" w14:textId="77777777" w:rsidTr="00CA4E2D">
        <w:tc>
          <w:tcPr>
            <w:tcW w:w="3397" w:type="dxa"/>
          </w:tcPr>
          <w:p w14:paraId="0A25759C" w14:textId="7D619F7F" w:rsidR="00B60FB0" w:rsidRDefault="0095706D" w:rsidP="001A2FD7">
            <w:r>
              <w:t>Staff in overall workforce</w:t>
            </w:r>
          </w:p>
        </w:tc>
        <w:tc>
          <w:tcPr>
            <w:tcW w:w="1701" w:type="dxa"/>
            <w:vAlign w:val="center"/>
          </w:tcPr>
          <w:p w14:paraId="5A1D882F" w14:textId="71817740" w:rsidR="00B60FB0" w:rsidRDefault="0095706D" w:rsidP="00CA4E2D">
            <w:pPr>
              <w:jc w:val="center"/>
            </w:pPr>
            <w:r>
              <w:t>1,405</w:t>
            </w:r>
          </w:p>
        </w:tc>
        <w:tc>
          <w:tcPr>
            <w:tcW w:w="1985" w:type="dxa"/>
            <w:vAlign w:val="center"/>
          </w:tcPr>
          <w:p w14:paraId="39FE5ADA" w14:textId="311E5DA0" w:rsidR="00B60FB0" w:rsidRDefault="0095706D" w:rsidP="00CA4E2D">
            <w:pPr>
              <w:jc w:val="center"/>
            </w:pPr>
            <w:r>
              <w:t>1,944</w:t>
            </w:r>
          </w:p>
        </w:tc>
        <w:tc>
          <w:tcPr>
            <w:tcW w:w="1933" w:type="dxa"/>
            <w:vAlign w:val="center"/>
          </w:tcPr>
          <w:p w14:paraId="6DF0269F" w14:textId="24036006" w:rsidR="00B60FB0" w:rsidRDefault="0095706D" w:rsidP="00CA4E2D">
            <w:pPr>
              <w:jc w:val="center"/>
            </w:pPr>
            <w:r>
              <w:t>164</w:t>
            </w:r>
          </w:p>
        </w:tc>
      </w:tr>
      <w:tr w:rsidR="0095706D" w14:paraId="3CC49CCE" w14:textId="77777777" w:rsidTr="00CA4E2D">
        <w:tc>
          <w:tcPr>
            <w:tcW w:w="3397" w:type="dxa"/>
          </w:tcPr>
          <w:p w14:paraId="357976AA" w14:textId="60F7AFF8" w:rsidR="0095706D" w:rsidRDefault="0095706D" w:rsidP="001A2FD7">
            <w:r>
              <w:t xml:space="preserve">Board Membership by % </w:t>
            </w:r>
          </w:p>
        </w:tc>
        <w:tc>
          <w:tcPr>
            <w:tcW w:w="1701" w:type="dxa"/>
            <w:vAlign w:val="center"/>
          </w:tcPr>
          <w:p w14:paraId="0FCA320D" w14:textId="4DDE5FD6" w:rsidR="0095706D" w:rsidRDefault="0095706D" w:rsidP="00CA4E2D">
            <w:pPr>
              <w:jc w:val="center"/>
            </w:pPr>
            <w:r>
              <w:t>55.6%</w:t>
            </w:r>
          </w:p>
        </w:tc>
        <w:tc>
          <w:tcPr>
            <w:tcW w:w="1985" w:type="dxa"/>
            <w:vAlign w:val="center"/>
          </w:tcPr>
          <w:p w14:paraId="5AEECB7A" w14:textId="6D1DE1D7" w:rsidR="0095706D" w:rsidRDefault="00F57A7A" w:rsidP="00CA4E2D">
            <w:pPr>
              <w:jc w:val="center"/>
            </w:pPr>
            <w:r>
              <w:t>33.3%</w:t>
            </w:r>
          </w:p>
        </w:tc>
        <w:tc>
          <w:tcPr>
            <w:tcW w:w="1933" w:type="dxa"/>
            <w:vAlign w:val="center"/>
          </w:tcPr>
          <w:p w14:paraId="1600EE59" w14:textId="4D71F272" w:rsidR="0095706D" w:rsidRDefault="00F57A7A" w:rsidP="00CA4E2D">
            <w:pPr>
              <w:jc w:val="center"/>
            </w:pPr>
            <w:r>
              <w:t>11.1%</w:t>
            </w:r>
          </w:p>
        </w:tc>
      </w:tr>
      <w:tr w:rsidR="000544F9" w:rsidRPr="006F66B4" w14:paraId="19D9AF4D" w14:textId="77777777" w:rsidTr="00CA4E2D">
        <w:trPr>
          <w:trHeight w:val="357"/>
        </w:trPr>
        <w:tc>
          <w:tcPr>
            <w:tcW w:w="7083" w:type="dxa"/>
            <w:gridSpan w:val="3"/>
            <w:vAlign w:val="center"/>
          </w:tcPr>
          <w:p w14:paraId="37D945CA" w14:textId="0316B3F6" w:rsidR="000544F9" w:rsidRPr="006F66B4" w:rsidRDefault="000544F9" w:rsidP="00CA4E2D">
            <w:pPr>
              <w:rPr>
                <w:b/>
                <w:bCs/>
              </w:rPr>
            </w:pPr>
            <w:r w:rsidRPr="006F66B4">
              <w:rPr>
                <w:b/>
                <w:bCs/>
              </w:rPr>
              <w:t>Ethnicity disparity</w:t>
            </w:r>
            <w:r w:rsidR="00CA4E2D">
              <w:rPr>
                <w:b/>
                <w:bCs/>
              </w:rPr>
              <w:t>:</w:t>
            </w:r>
          </w:p>
        </w:tc>
        <w:tc>
          <w:tcPr>
            <w:tcW w:w="1933" w:type="dxa"/>
            <w:vAlign w:val="center"/>
          </w:tcPr>
          <w:p w14:paraId="25571BFE" w14:textId="575177CA" w:rsidR="000544F9" w:rsidRPr="006F66B4" w:rsidRDefault="000544F9" w:rsidP="00CA4E2D">
            <w:pPr>
              <w:jc w:val="center"/>
              <w:rPr>
                <w:b/>
                <w:bCs/>
              </w:rPr>
            </w:pPr>
            <w:r w:rsidRPr="006F66B4">
              <w:rPr>
                <w:b/>
                <w:bCs/>
              </w:rPr>
              <w:t>-22%</w:t>
            </w:r>
          </w:p>
        </w:tc>
      </w:tr>
    </w:tbl>
    <w:p w14:paraId="15CFE09A" w14:textId="04223520" w:rsidR="001A2FD7" w:rsidRDefault="001A2FD7" w:rsidP="001A2FD7"/>
    <w:p w14:paraId="24A5B7E0" w14:textId="5147A15E" w:rsidR="004B52EC" w:rsidRPr="00E23853" w:rsidRDefault="004B52EC" w:rsidP="00E23853">
      <w:pPr>
        <w:pStyle w:val="Heading2"/>
        <w:rPr>
          <w:rStyle w:val="Strong"/>
          <w:b w:val="0"/>
          <w:bCs w:val="0"/>
        </w:rPr>
      </w:pPr>
      <w:bookmarkStart w:id="15" w:name="_Toc107844801"/>
      <w:r w:rsidRPr="00E23853">
        <w:rPr>
          <w:rStyle w:val="Strong"/>
          <w:b w:val="0"/>
          <w:bCs w:val="0"/>
        </w:rPr>
        <w:t xml:space="preserve">Summary </w:t>
      </w:r>
      <w:bookmarkEnd w:id="15"/>
    </w:p>
    <w:p w14:paraId="6BB08230" w14:textId="12C1F04C" w:rsidR="004B52EC" w:rsidRDefault="004B52EC" w:rsidP="00E23853">
      <w:r>
        <w:t>BEH has a differential percentage of -22%.  This is a positive change of 2.8 percentage points on last year’s submission, however, people from BAME Communities remain unrepresented at the Trust’s most senior decision</w:t>
      </w:r>
      <w:r w:rsidR="00D01E69">
        <w:t>-</w:t>
      </w:r>
      <w:r>
        <w:t xml:space="preserve">making level.  </w:t>
      </w:r>
      <w:r w:rsidR="00D01E69">
        <w:t xml:space="preserve">BEH submission </w:t>
      </w:r>
      <w:r>
        <w:t>is in line with London averages</w:t>
      </w:r>
      <w:r w:rsidR="00D01E69">
        <w:t xml:space="preserve"> for</w:t>
      </w:r>
      <w:r w:rsidR="00032F1E">
        <w:t xml:space="preserve"> last reporting year</w:t>
      </w:r>
      <w:r w:rsidR="00D01E69">
        <w:t xml:space="preserve">. </w:t>
      </w:r>
    </w:p>
    <w:p w14:paraId="352C3D92" w14:textId="3055737B" w:rsidR="00C57292" w:rsidRDefault="00C57292" w:rsidP="00C57292">
      <w:pPr>
        <w:pStyle w:val="Heading1"/>
        <w:rPr>
          <w:color w:val="70AD47" w:themeColor="accent6"/>
        </w:rPr>
      </w:pPr>
      <w:r w:rsidRPr="00C57292">
        <w:rPr>
          <w:color w:val="70AD47" w:themeColor="accent6"/>
        </w:rPr>
        <w:t xml:space="preserve">High Priority Areas for WRES action planning </w:t>
      </w:r>
    </w:p>
    <w:p w14:paraId="593C08A1" w14:textId="77777777" w:rsidR="00C57292" w:rsidRPr="00C57292" w:rsidRDefault="00C57292" w:rsidP="00C57292"/>
    <w:tbl>
      <w:tblPr>
        <w:tblStyle w:val="TableGrid"/>
        <w:tblW w:w="0" w:type="auto"/>
        <w:tblLook w:val="04A0" w:firstRow="1" w:lastRow="0" w:firstColumn="1" w:lastColumn="0" w:noHBand="0" w:noVBand="1"/>
      </w:tblPr>
      <w:tblGrid>
        <w:gridCol w:w="1838"/>
        <w:gridCol w:w="2670"/>
        <w:gridCol w:w="4418"/>
      </w:tblGrid>
      <w:tr w:rsidR="00C57292" w14:paraId="5D61AD25" w14:textId="77777777" w:rsidTr="008801F9">
        <w:trPr>
          <w:trHeight w:val="805"/>
        </w:trPr>
        <w:tc>
          <w:tcPr>
            <w:tcW w:w="1838" w:type="dxa"/>
            <w:vMerge w:val="restart"/>
            <w:shd w:val="clear" w:color="auto" w:fill="E2EFD9" w:themeFill="accent6" w:themeFillTint="33"/>
            <w:vAlign w:val="center"/>
          </w:tcPr>
          <w:p w14:paraId="74538F2F" w14:textId="72E0ACE3" w:rsidR="00C57292" w:rsidRPr="002B4199" w:rsidRDefault="00C57292" w:rsidP="008801F9">
            <w:pPr>
              <w:rPr>
                <w:b/>
                <w:bCs/>
              </w:rPr>
            </w:pPr>
            <w:r w:rsidRPr="002B4199">
              <w:rPr>
                <w:b/>
                <w:bCs/>
              </w:rPr>
              <w:t xml:space="preserve">Indicator </w:t>
            </w:r>
            <w:r>
              <w:rPr>
                <w:b/>
                <w:bCs/>
              </w:rPr>
              <w:t>3</w:t>
            </w:r>
          </w:p>
        </w:tc>
        <w:tc>
          <w:tcPr>
            <w:tcW w:w="2670" w:type="dxa"/>
            <w:vMerge w:val="restart"/>
            <w:shd w:val="clear" w:color="auto" w:fill="E2EFD9" w:themeFill="accent6" w:themeFillTint="33"/>
            <w:vAlign w:val="center"/>
          </w:tcPr>
          <w:p w14:paraId="44A8E5ED" w14:textId="77777777" w:rsidR="00C57292" w:rsidRPr="001B09EE" w:rsidRDefault="00C57292" w:rsidP="008801F9">
            <w:pPr>
              <w:rPr>
                <w:b/>
              </w:rPr>
            </w:pPr>
            <w:r>
              <w:rPr>
                <w:rStyle w:val="Strong"/>
                <w:b w:val="0"/>
              </w:rPr>
              <w:t>R</w:t>
            </w:r>
            <w:r w:rsidRPr="001B09EE">
              <w:rPr>
                <w:rStyle w:val="Strong"/>
                <w:b w:val="0"/>
              </w:rPr>
              <w:t>elative likelihood of staff from BAME communities entering the formal disciplinary process, compared to that of staff from white communities</w:t>
            </w:r>
          </w:p>
        </w:tc>
        <w:tc>
          <w:tcPr>
            <w:tcW w:w="4418" w:type="dxa"/>
            <w:shd w:val="clear" w:color="auto" w:fill="E2EFD9" w:themeFill="accent6" w:themeFillTint="33"/>
          </w:tcPr>
          <w:p w14:paraId="1E8985A6" w14:textId="77777777" w:rsidR="00C57292" w:rsidRPr="004633A0" w:rsidRDefault="00C57292" w:rsidP="008801F9">
            <w:pPr>
              <w:rPr>
                <w:b/>
                <w:bCs/>
              </w:rPr>
            </w:pPr>
            <w:r w:rsidRPr="004633A0">
              <w:rPr>
                <w:b/>
                <w:bCs/>
              </w:rPr>
              <w:t>Rat</w:t>
            </w:r>
            <w:r>
              <w:rPr>
                <w:b/>
                <w:bCs/>
              </w:rPr>
              <w:t>io</w:t>
            </w:r>
          </w:p>
          <w:p w14:paraId="1CD8EEE6" w14:textId="77777777" w:rsidR="00C57292" w:rsidRDefault="00C57292" w:rsidP="008801F9">
            <w:pPr>
              <w:pStyle w:val="ListParagraph"/>
              <w:numPr>
                <w:ilvl w:val="0"/>
                <w:numId w:val="1"/>
              </w:numPr>
            </w:pPr>
            <w:r>
              <w:t>2.46</w:t>
            </w:r>
          </w:p>
          <w:p w14:paraId="4951ACDE" w14:textId="77777777" w:rsidR="00C57292" w:rsidRDefault="00C57292" w:rsidP="008801F9">
            <w:pPr>
              <w:ind w:left="720"/>
            </w:pPr>
          </w:p>
        </w:tc>
      </w:tr>
      <w:tr w:rsidR="00C57292" w14:paraId="0D96E8B3" w14:textId="77777777" w:rsidTr="008801F9">
        <w:trPr>
          <w:trHeight w:val="805"/>
        </w:trPr>
        <w:tc>
          <w:tcPr>
            <w:tcW w:w="1838" w:type="dxa"/>
            <w:vMerge/>
            <w:shd w:val="clear" w:color="auto" w:fill="D9E2F3" w:themeFill="accent1" w:themeFillTint="33"/>
            <w:vAlign w:val="center"/>
          </w:tcPr>
          <w:p w14:paraId="073C3EE2" w14:textId="77777777" w:rsidR="00C57292" w:rsidRPr="002B4199" w:rsidRDefault="00C57292" w:rsidP="008801F9">
            <w:pPr>
              <w:rPr>
                <w:b/>
                <w:bCs/>
              </w:rPr>
            </w:pPr>
          </w:p>
        </w:tc>
        <w:tc>
          <w:tcPr>
            <w:tcW w:w="2670" w:type="dxa"/>
            <w:vMerge/>
            <w:shd w:val="clear" w:color="auto" w:fill="D9E2F3" w:themeFill="accent1" w:themeFillTint="33"/>
            <w:vAlign w:val="center"/>
          </w:tcPr>
          <w:p w14:paraId="2D4520CC" w14:textId="77777777" w:rsidR="00C57292" w:rsidRDefault="00C57292" w:rsidP="008801F9"/>
        </w:tc>
        <w:tc>
          <w:tcPr>
            <w:tcW w:w="4418" w:type="dxa"/>
            <w:shd w:val="clear" w:color="auto" w:fill="E2EFD9" w:themeFill="accent6" w:themeFillTint="33"/>
          </w:tcPr>
          <w:p w14:paraId="5007EA88" w14:textId="77777777" w:rsidR="00C57292" w:rsidRPr="004633A0" w:rsidRDefault="00C57292" w:rsidP="008801F9">
            <w:pPr>
              <w:rPr>
                <w:b/>
                <w:bCs/>
              </w:rPr>
            </w:pPr>
            <w:r w:rsidRPr="004633A0">
              <w:rPr>
                <w:b/>
                <w:bCs/>
              </w:rPr>
              <w:t>Values</w:t>
            </w:r>
          </w:p>
          <w:p w14:paraId="5ABD34A1" w14:textId="77777777" w:rsidR="00C57292" w:rsidRDefault="00C57292" w:rsidP="008801F9">
            <w:pPr>
              <w:pStyle w:val="ListParagraph"/>
              <w:numPr>
                <w:ilvl w:val="0"/>
                <w:numId w:val="1"/>
              </w:numPr>
            </w:pPr>
            <w:r w:rsidRPr="00A14FEB">
              <w:rPr>
                <w:i/>
                <w:iCs/>
              </w:rPr>
              <w:t>n</w:t>
            </w:r>
            <w:r>
              <w:t xml:space="preserve">=17 people from BAME communities </w:t>
            </w:r>
          </w:p>
          <w:p w14:paraId="2798DA6F" w14:textId="77777777" w:rsidR="00C57292" w:rsidRDefault="00C57292" w:rsidP="008801F9">
            <w:pPr>
              <w:pStyle w:val="ListParagraph"/>
              <w:numPr>
                <w:ilvl w:val="0"/>
                <w:numId w:val="1"/>
              </w:numPr>
            </w:pPr>
            <w:r w:rsidRPr="00E30D31">
              <w:rPr>
                <w:i/>
                <w:iCs/>
              </w:rPr>
              <w:t>n=</w:t>
            </w:r>
            <w:r>
              <w:t>5 from white communities</w:t>
            </w:r>
          </w:p>
          <w:p w14:paraId="2E0094EA" w14:textId="77777777" w:rsidR="00C57292" w:rsidRDefault="00C57292" w:rsidP="008801F9">
            <w:pPr>
              <w:pStyle w:val="ListParagraph"/>
              <w:numPr>
                <w:ilvl w:val="0"/>
                <w:numId w:val="1"/>
              </w:numPr>
            </w:pPr>
            <w:r w:rsidRPr="00E30D31">
              <w:rPr>
                <w:i/>
                <w:iCs/>
              </w:rPr>
              <w:t>n=</w:t>
            </w:r>
            <w:r>
              <w:t>3 of unknown ethnicity</w:t>
            </w:r>
          </w:p>
          <w:p w14:paraId="675D9E83" w14:textId="77777777" w:rsidR="00C57292" w:rsidRDefault="00C57292" w:rsidP="008801F9">
            <w:pPr>
              <w:pStyle w:val="ListParagraph"/>
              <w:ind w:left="1080"/>
            </w:pPr>
          </w:p>
        </w:tc>
      </w:tr>
      <w:tr w:rsidR="00C57292" w14:paraId="4560F2CE" w14:textId="77777777" w:rsidTr="008801F9">
        <w:trPr>
          <w:trHeight w:val="545"/>
        </w:trPr>
        <w:tc>
          <w:tcPr>
            <w:tcW w:w="1838" w:type="dxa"/>
            <w:vMerge w:val="restart"/>
            <w:vAlign w:val="center"/>
          </w:tcPr>
          <w:p w14:paraId="7169DE16" w14:textId="77777777" w:rsidR="00C57292" w:rsidRPr="002B4199" w:rsidRDefault="00C57292" w:rsidP="008801F9">
            <w:pPr>
              <w:rPr>
                <w:b/>
                <w:bCs/>
              </w:rPr>
            </w:pPr>
            <w:r w:rsidRPr="002B4199">
              <w:rPr>
                <w:b/>
                <w:bCs/>
              </w:rPr>
              <w:t xml:space="preserve">Indicator </w:t>
            </w:r>
            <w:r>
              <w:rPr>
                <w:b/>
                <w:bCs/>
              </w:rPr>
              <w:t>5</w:t>
            </w:r>
          </w:p>
        </w:tc>
        <w:tc>
          <w:tcPr>
            <w:tcW w:w="2670" w:type="dxa"/>
            <w:vMerge w:val="restart"/>
            <w:vAlign w:val="center"/>
          </w:tcPr>
          <w:p w14:paraId="0579E1A4" w14:textId="77777777" w:rsidR="00C57292" w:rsidRPr="003D1AB7" w:rsidRDefault="00C57292" w:rsidP="008801F9">
            <w:pPr>
              <w:pStyle w:val="Heading1"/>
              <w:outlineLvl w:val="0"/>
              <w:rPr>
                <w:rStyle w:val="Strong"/>
                <w:sz w:val="22"/>
                <w:szCs w:val="22"/>
              </w:rPr>
            </w:pPr>
            <w:r w:rsidRPr="003D1AB7">
              <w:rPr>
                <w:rStyle w:val="Strong"/>
                <w:sz w:val="22"/>
                <w:szCs w:val="22"/>
              </w:rPr>
              <w:t xml:space="preserve">Percentage of staff experiencing bullying, harassment or abuse from patients, </w:t>
            </w:r>
            <w:proofErr w:type="gramStart"/>
            <w:r w:rsidRPr="003D1AB7">
              <w:rPr>
                <w:rStyle w:val="Strong"/>
                <w:sz w:val="22"/>
                <w:szCs w:val="22"/>
              </w:rPr>
              <w:t>relatives</w:t>
            </w:r>
            <w:proofErr w:type="gramEnd"/>
            <w:r w:rsidRPr="003D1AB7">
              <w:rPr>
                <w:rStyle w:val="Strong"/>
                <w:sz w:val="22"/>
                <w:szCs w:val="22"/>
              </w:rPr>
              <w:t xml:space="preserve"> or the public in the last 12 months</w:t>
            </w:r>
          </w:p>
          <w:p w14:paraId="2FD1F691" w14:textId="77777777" w:rsidR="00C57292" w:rsidRDefault="00C57292" w:rsidP="008801F9"/>
        </w:tc>
        <w:tc>
          <w:tcPr>
            <w:tcW w:w="4418" w:type="dxa"/>
          </w:tcPr>
          <w:p w14:paraId="24ECF60A" w14:textId="77777777" w:rsidR="00C57292" w:rsidRPr="004633A0" w:rsidRDefault="00C57292" w:rsidP="008801F9">
            <w:pPr>
              <w:rPr>
                <w:b/>
                <w:bCs/>
              </w:rPr>
            </w:pPr>
            <w:r w:rsidRPr="004633A0">
              <w:rPr>
                <w:b/>
                <w:bCs/>
              </w:rPr>
              <w:t xml:space="preserve">Rate </w:t>
            </w:r>
          </w:p>
          <w:p w14:paraId="31A79D8C" w14:textId="77777777" w:rsidR="00C57292" w:rsidRDefault="00C57292" w:rsidP="008801F9">
            <w:pPr>
              <w:pStyle w:val="ListParagraph"/>
              <w:numPr>
                <w:ilvl w:val="0"/>
                <w:numId w:val="1"/>
              </w:numPr>
            </w:pPr>
            <w:r>
              <w:t xml:space="preserve">36.1% of staff in BAME communities </w:t>
            </w:r>
          </w:p>
          <w:p w14:paraId="0653DB61" w14:textId="77777777" w:rsidR="00C57292" w:rsidRDefault="00C57292" w:rsidP="008801F9">
            <w:pPr>
              <w:pStyle w:val="ListParagraph"/>
              <w:numPr>
                <w:ilvl w:val="0"/>
                <w:numId w:val="1"/>
              </w:numPr>
            </w:pPr>
            <w:r>
              <w:t xml:space="preserve">28.4% of staff in white communities </w:t>
            </w:r>
          </w:p>
          <w:p w14:paraId="5A13D1B5" w14:textId="77777777" w:rsidR="00C57292" w:rsidRDefault="00C57292" w:rsidP="008801F9">
            <w:r>
              <w:t xml:space="preserve"> </w:t>
            </w:r>
          </w:p>
        </w:tc>
      </w:tr>
      <w:tr w:rsidR="00C57292" w14:paraId="61071A57" w14:textId="77777777" w:rsidTr="008801F9">
        <w:trPr>
          <w:trHeight w:val="545"/>
        </w:trPr>
        <w:tc>
          <w:tcPr>
            <w:tcW w:w="1838" w:type="dxa"/>
            <w:vMerge/>
            <w:vAlign w:val="center"/>
          </w:tcPr>
          <w:p w14:paraId="334FB1D0" w14:textId="77777777" w:rsidR="00C57292" w:rsidRPr="002B4199" w:rsidRDefault="00C57292" w:rsidP="008801F9">
            <w:pPr>
              <w:rPr>
                <w:b/>
                <w:bCs/>
              </w:rPr>
            </w:pPr>
          </w:p>
        </w:tc>
        <w:tc>
          <w:tcPr>
            <w:tcW w:w="2670" w:type="dxa"/>
            <w:vMerge/>
            <w:vAlign w:val="center"/>
          </w:tcPr>
          <w:p w14:paraId="13653E66" w14:textId="77777777" w:rsidR="00C57292" w:rsidRDefault="00C57292" w:rsidP="008801F9"/>
        </w:tc>
        <w:tc>
          <w:tcPr>
            <w:tcW w:w="4418" w:type="dxa"/>
          </w:tcPr>
          <w:p w14:paraId="2E178D9F" w14:textId="77777777" w:rsidR="00C57292" w:rsidRPr="004633A0" w:rsidRDefault="00C57292" w:rsidP="008801F9">
            <w:pPr>
              <w:rPr>
                <w:b/>
                <w:bCs/>
              </w:rPr>
            </w:pPr>
            <w:r w:rsidRPr="004633A0">
              <w:rPr>
                <w:b/>
                <w:bCs/>
              </w:rPr>
              <w:t xml:space="preserve">Values </w:t>
            </w:r>
          </w:p>
          <w:p w14:paraId="58A0D9F0" w14:textId="77777777" w:rsidR="00C57292" w:rsidRDefault="00C57292" w:rsidP="008801F9">
            <w:pPr>
              <w:pStyle w:val="ListParagraph"/>
              <w:numPr>
                <w:ilvl w:val="0"/>
                <w:numId w:val="1"/>
              </w:numPr>
            </w:pPr>
            <w:r w:rsidRPr="00B34CAA">
              <w:rPr>
                <w:i/>
                <w:iCs/>
              </w:rPr>
              <w:t>n</w:t>
            </w:r>
            <w:r>
              <w:t xml:space="preserve">= 306 staff in BAME communities </w:t>
            </w:r>
          </w:p>
          <w:p w14:paraId="2DD5A97A" w14:textId="77777777" w:rsidR="00C57292" w:rsidRPr="00F577E5" w:rsidRDefault="00C57292" w:rsidP="008801F9">
            <w:pPr>
              <w:pStyle w:val="ListParagraph"/>
              <w:numPr>
                <w:ilvl w:val="0"/>
                <w:numId w:val="1"/>
              </w:numPr>
            </w:pPr>
            <w:r>
              <w:rPr>
                <w:i/>
                <w:iCs/>
              </w:rPr>
              <w:t xml:space="preserve">n= </w:t>
            </w:r>
            <w:r w:rsidRPr="00F577E5">
              <w:t>215 staff in white communities</w:t>
            </w:r>
            <w:r>
              <w:rPr>
                <w:i/>
                <w:iCs/>
              </w:rPr>
              <w:t xml:space="preserve"> </w:t>
            </w:r>
          </w:p>
          <w:p w14:paraId="78D36643" w14:textId="77777777" w:rsidR="00C57292" w:rsidRDefault="00C57292" w:rsidP="008801F9"/>
        </w:tc>
      </w:tr>
      <w:tr w:rsidR="00C57292" w14:paraId="614EB3E9" w14:textId="77777777" w:rsidTr="008801F9">
        <w:trPr>
          <w:trHeight w:val="1074"/>
        </w:trPr>
        <w:tc>
          <w:tcPr>
            <w:tcW w:w="1838" w:type="dxa"/>
            <w:shd w:val="clear" w:color="auto" w:fill="E2EFD9" w:themeFill="accent6" w:themeFillTint="33"/>
            <w:vAlign w:val="center"/>
          </w:tcPr>
          <w:p w14:paraId="688A5B23" w14:textId="77777777" w:rsidR="00C57292" w:rsidRPr="002B4199" w:rsidRDefault="00C57292" w:rsidP="008801F9">
            <w:pPr>
              <w:rPr>
                <w:b/>
                <w:bCs/>
              </w:rPr>
            </w:pPr>
            <w:r w:rsidRPr="002B4199">
              <w:rPr>
                <w:b/>
                <w:bCs/>
              </w:rPr>
              <w:t>Indicator</w:t>
            </w:r>
            <w:r>
              <w:rPr>
                <w:b/>
                <w:bCs/>
              </w:rPr>
              <w:t>s</w:t>
            </w:r>
            <w:r w:rsidRPr="002B4199">
              <w:rPr>
                <w:b/>
                <w:bCs/>
              </w:rPr>
              <w:t xml:space="preserve"> </w:t>
            </w:r>
            <w:r>
              <w:rPr>
                <w:b/>
                <w:bCs/>
              </w:rPr>
              <w:t xml:space="preserve">1 </w:t>
            </w:r>
            <w:r w:rsidRPr="00697C13">
              <w:rPr>
                <w:b/>
                <w:bCs/>
              </w:rPr>
              <w:t>&amp; 9</w:t>
            </w:r>
          </w:p>
        </w:tc>
        <w:tc>
          <w:tcPr>
            <w:tcW w:w="7088" w:type="dxa"/>
            <w:gridSpan w:val="2"/>
            <w:shd w:val="clear" w:color="auto" w:fill="E2EFD9" w:themeFill="accent6" w:themeFillTint="33"/>
            <w:vAlign w:val="center"/>
          </w:tcPr>
          <w:p w14:paraId="1ED73E42" w14:textId="77777777" w:rsidR="00C57292" w:rsidRDefault="00C57292" w:rsidP="008801F9">
            <w:pPr>
              <w:rPr>
                <w:rStyle w:val="Strong"/>
                <w:b w:val="0"/>
              </w:rPr>
            </w:pPr>
            <w:r>
              <w:rPr>
                <w:rStyle w:val="Strong"/>
                <w:b w:val="0"/>
              </w:rPr>
              <w:t>W</w:t>
            </w:r>
            <w:r w:rsidRPr="003D1AB7">
              <w:rPr>
                <w:rStyle w:val="Strong"/>
                <w:b w:val="0"/>
              </w:rPr>
              <w:t>orkforce profile of ethnicity; clinical, non-clinical</w:t>
            </w:r>
            <w:r>
              <w:rPr>
                <w:rStyle w:val="Strong"/>
                <w:b w:val="0"/>
              </w:rPr>
              <w:t xml:space="preserve">, </w:t>
            </w:r>
            <w:r w:rsidRPr="003D1AB7">
              <w:rPr>
                <w:rStyle w:val="Strong"/>
                <w:b w:val="0"/>
              </w:rPr>
              <w:t xml:space="preserve">medical &amp; dental </w:t>
            </w:r>
            <w:r>
              <w:rPr>
                <w:rStyle w:val="Strong"/>
                <w:b w:val="0"/>
              </w:rPr>
              <w:t xml:space="preserve">and VSM </w:t>
            </w:r>
            <w:r w:rsidRPr="003D1AB7">
              <w:rPr>
                <w:rStyle w:val="Strong"/>
                <w:b w:val="0"/>
              </w:rPr>
              <w:t>workforce</w:t>
            </w:r>
            <w:r>
              <w:rPr>
                <w:rStyle w:val="Strong"/>
                <w:b w:val="0"/>
              </w:rPr>
              <w:t xml:space="preserve"> – retention and progression of colleagues </w:t>
            </w:r>
          </w:p>
          <w:p w14:paraId="427C3D12" w14:textId="77777777" w:rsidR="00C57292" w:rsidRDefault="00C57292" w:rsidP="008801F9">
            <w:pPr>
              <w:rPr>
                <w:rStyle w:val="Strong"/>
              </w:rPr>
            </w:pPr>
          </w:p>
          <w:p w14:paraId="333FC63D" w14:textId="77777777" w:rsidR="00C57292" w:rsidRDefault="00C57292" w:rsidP="008801F9">
            <w:pPr>
              <w:pStyle w:val="ListParagraph"/>
              <w:numPr>
                <w:ilvl w:val="0"/>
                <w:numId w:val="1"/>
              </w:numPr>
            </w:pPr>
            <w:r>
              <w:t xml:space="preserve">white groups in non-clinical </w:t>
            </w:r>
            <w:proofErr w:type="spellStart"/>
            <w:r>
              <w:t>AfC</w:t>
            </w:r>
            <w:proofErr w:type="spellEnd"/>
            <w:r>
              <w:t xml:space="preserve"> roles start to be proportionately over-represented at 8c </w:t>
            </w:r>
          </w:p>
          <w:p w14:paraId="30A4DED0" w14:textId="77777777" w:rsidR="00C57292" w:rsidRDefault="00C57292" w:rsidP="008801F9">
            <w:pPr>
              <w:pStyle w:val="ListParagraph"/>
              <w:numPr>
                <w:ilvl w:val="0"/>
                <w:numId w:val="1"/>
              </w:numPr>
            </w:pPr>
            <w:r>
              <w:lastRenderedPageBreak/>
              <w:t xml:space="preserve">white groups in clinical </w:t>
            </w:r>
            <w:proofErr w:type="spellStart"/>
            <w:r>
              <w:t>AfC</w:t>
            </w:r>
            <w:proofErr w:type="spellEnd"/>
            <w:r>
              <w:t xml:space="preserve"> roles start to be proportionately over-represented at 8d</w:t>
            </w:r>
          </w:p>
          <w:p w14:paraId="4004A46F" w14:textId="77777777" w:rsidR="00C57292" w:rsidRDefault="00C57292" w:rsidP="008801F9">
            <w:pPr>
              <w:pStyle w:val="ListParagraph"/>
              <w:numPr>
                <w:ilvl w:val="0"/>
                <w:numId w:val="1"/>
              </w:numPr>
            </w:pPr>
            <w:r>
              <w:t>white groups are proportionately over-represented in VSM roles</w:t>
            </w:r>
          </w:p>
          <w:p w14:paraId="0D250C1F" w14:textId="77777777" w:rsidR="00C57292" w:rsidRDefault="00C57292" w:rsidP="008801F9">
            <w:pPr>
              <w:pStyle w:val="ListParagraph"/>
              <w:ind w:left="1080"/>
            </w:pPr>
          </w:p>
        </w:tc>
      </w:tr>
    </w:tbl>
    <w:p w14:paraId="088F1309" w14:textId="77777777" w:rsidR="00C57292" w:rsidRDefault="00C57292" w:rsidP="00E23853"/>
    <w:p w14:paraId="316EFC41" w14:textId="6F6F6424" w:rsidR="007A1F3E" w:rsidRPr="007A1F3E" w:rsidRDefault="007A1F3E" w:rsidP="007A1F3E">
      <w:pPr>
        <w:pStyle w:val="Heading1"/>
        <w:rPr>
          <w:color w:val="70AD47" w:themeColor="accent6"/>
        </w:rPr>
      </w:pPr>
      <w:bookmarkStart w:id="16" w:name="_Toc107844802"/>
      <w:r w:rsidRPr="007A1F3E">
        <w:rPr>
          <w:color w:val="70AD47" w:themeColor="accent6"/>
        </w:rPr>
        <w:t>Conclusion</w:t>
      </w:r>
      <w:bookmarkEnd w:id="16"/>
      <w:r w:rsidRPr="007A1F3E">
        <w:rPr>
          <w:color w:val="70AD47" w:themeColor="accent6"/>
        </w:rPr>
        <w:t xml:space="preserve"> </w:t>
      </w:r>
    </w:p>
    <w:p w14:paraId="259F4206" w14:textId="7295B463" w:rsidR="00B00B9B" w:rsidRDefault="00B00B9B" w:rsidP="00061E40">
      <w:pPr>
        <w:pStyle w:val="NoSpacing"/>
      </w:pPr>
    </w:p>
    <w:p w14:paraId="1EDE0E03" w14:textId="58C5B6CC" w:rsidR="00756876" w:rsidRDefault="00756876" w:rsidP="00061E40">
      <w:pPr>
        <w:pStyle w:val="NoSpacing"/>
      </w:pPr>
      <w:r>
        <w:t xml:space="preserve">We recognise that people in BAME communities have historically worse outcomes than their peers in the white communities, and this includes in employment.  </w:t>
      </w:r>
      <w:r w:rsidR="003925CD">
        <w:t>We</w:t>
      </w:r>
      <w:r w:rsidR="00E23853">
        <w:t xml:space="preserve"> remain committed to ensuring that all groups of the workforce receive equal treatment and are not discriminated against </w:t>
      </w:r>
      <w:proofErr w:type="gramStart"/>
      <w:r w:rsidR="00E23853">
        <w:t>on the basis of</w:t>
      </w:r>
      <w:proofErr w:type="gramEnd"/>
      <w:r w:rsidR="00E23853">
        <w:t xml:space="preserve"> their skin colour, accent, culture or faith.  </w:t>
      </w:r>
      <w:r>
        <w:t xml:space="preserve">There is no place for racism or racist attitudes </w:t>
      </w:r>
      <w:r w:rsidR="003925CD">
        <w:t xml:space="preserve">at BEH.  </w:t>
      </w:r>
    </w:p>
    <w:p w14:paraId="19D2E5A9" w14:textId="77777777" w:rsidR="00756876" w:rsidRDefault="00756876" w:rsidP="00061E40">
      <w:pPr>
        <w:pStyle w:val="NoSpacing"/>
      </w:pPr>
    </w:p>
    <w:p w14:paraId="2DE5AB39" w14:textId="1A76F0D8" w:rsidR="00E23853" w:rsidRDefault="00E23853" w:rsidP="00061E40">
      <w:pPr>
        <w:pStyle w:val="NoSpacing"/>
      </w:pPr>
      <w:r>
        <w:t xml:space="preserve">Some indicators this year have been improved, and we can celebrate these successes even though we know we </w:t>
      </w:r>
      <w:r w:rsidR="003925CD">
        <w:t xml:space="preserve">can’t take our foot of </w:t>
      </w:r>
      <w:r>
        <w:t xml:space="preserve">the gas.  But other indicators cause concern, including indicator 5 where our staff in BAME communities are telling us they feel bullied by some people who visit or use our services.  We will do more to support those staff and to curb their poor experiences in this area. </w:t>
      </w:r>
    </w:p>
    <w:p w14:paraId="4C96606D" w14:textId="77777777" w:rsidR="00E23853" w:rsidRDefault="00E23853" w:rsidP="00061E40">
      <w:pPr>
        <w:pStyle w:val="NoSpacing"/>
      </w:pPr>
    </w:p>
    <w:p w14:paraId="74363AB0" w14:textId="7F5EFB52" w:rsidR="00E23853" w:rsidRDefault="00E23853" w:rsidP="00061E40">
      <w:pPr>
        <w:pStyle w:val="NoSpacing"/>
      </w:pPr>
      <w:r>
        <w:t xml:space="preserve">An action plan has been agreed with the Trust’s Better Together staff equality network for race, to move the equality agenda forward, collaboratively with staff. </w:t>
      </w:r>
    </w:p>
    <w:p w14:paraId="79DC6223" w14:textId="77777777" w:rsidR="00966312" w:rsidRDefault="00966312" w:rsidP="00061E40">
      <w:pPr>
        <w:pStyle w:val="NoSpacing"/>
      </w:pPr>
    </w:p>
    <w:p w14:paraId="46CA1C76" w14:textId="6E2BE4F0" w:rsidR="00966312" w:rsidRDefault="00966312" w:rsidP="00061E40">
      <w:pPr>
        <w:pStyle w:val="NoSpacing"/>
      </w:pPr>
    </w:p>
    <w:p w14:paraId="24FAB5AA" w14:textId="049032EF" w:rsidR="00966312" w:rsidRDefault="00966312" w:rsidP="00966312">
      <w:pPr>
        <w:pStyle w:val="NoSpacing"/>
        <w:jc w:val="center"/>
      </w:pPr>
      <w:r>
        <w:t>“</w:t>
      </w:r>
      <w:r>
        <w:rPr>
          <w:noProof/>
        </w:rPr>
        <w:drawing>
          <wp:inline distT="0" distB="0" distL="0" distR="0" wp14:anchorId="0DCCE0BA" wp14:editId="7FF49C15">
            <wp:extent cx="1347258" cy="177270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0988" cy="1777616"/>
                    </a:xfrm>
                    <a:prstGeom prst="rect">
                      <a:avLst/>
                    </a:prstGeom>
                  </pic:spPr>
                </pic:pic>
              </a:graphicData>
            </a:graphic>
          </wp:inline>
        </w:drawing>
      </w:r>
    </w:p>
    <w:p w14:paraId="22E6A978" w14:textId="77777777" w:rsidR="00966312" w:rsidRDefault="00966312" w:rsidP="00966312">
      <w:pPr>
        <w:pStyle w:val="NoSpacing"/>
        <w:jc w:val="center"/>
        <w:rPr>
          <w:i/>
          <w:iCs/>
        </w:rPr>
      </w:pPr>
    </w:p>
    <w:p w14:paraId="7763D0E7" w14:textId="06002E60" w:rsidR="00074450" w:rsidRDefault="00966312" w:rsidP="00966312">
      <w:pPr>
        <w:pStyle w:val="NoSpacing"/>
        <w:jc w:val="center"/>
        <w:rPr>
          <w:i/>
          <w:iCs/>
        </w:rPr>
      </w:pPr>
      <w:r>
        <w:rPr>
          <w:i/>
          <w:iCs/>
        </w:rPr>
        <w:t xml:space="preserve">Black people suffer. Our lives are worth less. And the statistics don’t lie.  In the US and UK, our children are more likely to leave school without qualifications, we are more likely to go to jail, more likely to live in poverty, more likely to live in social housing, less likely to own a home. We earn less, our women die in childbirth at a higher rate, our infant mortality is higher.  And, not surprisingly, our life expectancy is lower.  </w:t>
      </w:r>
      <w:proofErr w:type="gramStart"/>
      <w:r>
        <w:rPr>
          <w:i/>
          <w:iCs/>
        </w:rPr>
        <w:t>All of</w:t>
      </w:r>
      <w:proofErr w:type="gramEnd"/>
      <w:r>
        <w:rPr>
          <w:i/>
          <w:iCs/>
        </w:rPr>
        <w:t xml:space="preserve"> these things happen because we live by a system that tolerates and enforces deeply entrenched ideas that Black people, or people of colour, are inferior.”</w:t>
      </w:r>
    </w:p>
    <w:p w14:paraId="4FFFBAD1" w14:textId="77777777" w:rsidR="00966312" w:rsidRDefault="00966312" w:rsidP="00966312">
      <w:pPr>
        <w:pStyle w:val="NoSpacing"/>
        <w:jc w:val="center"/>
        <w:rPr>
          <w:i/>
          <w:iCs/>
        </w:rPr>
      </w:pPr>
    </w:p>
    <w:p w14:paraId="09FB346C" w14:textId="373CAFB0" w:rsidR="00966312" w:rsidRPr="00966312" w:rsidRDefault="00966312" w:rsidP="00966312">
      <w:pPr>
        <w:pStyle w:val="NoSpacing"/>
        <w:jc w:val="right"/>
        <w:rPr>
          <w:i/>
          <w:iCs/>
        </w:rPr>
      </w:pPr>
      <w:r>
        <w:rPr>
          <w:i/>
          <w:iCs/>
        </w:rPr>
        <w:t>Michael Holding (2021) from his book, Why We Kneel, How We Rise</w:t>
      </w:r>
    </w:p>
    <w:p w14:paraId="2C4FBB1C" w14:textId="1B0AA166" w:rsidR="00074450" w:rsidRDefault="00074450" w:rsidP="00061E40">
      <w:pPr>
        <w:pStyle w:val="NoSpacing"/>
      </w:pPr>
    </w:p>
    <w:p w14:paraId="0B303E01" w14:textId="54C773D8" w:rsidR="00E23853" w:rsidRDefault="00E23853" w:rsidP="00061E40">
      <w:pPr>
        <w:pStyle w:val="NoSpacing"/>
      </w:pPr>
    </w:p>
    <w:p w14:paraId="02B40A40" w14:textId="77777777" w:rsidR="00E23853" w:rsidRDefault="00E23853" w:rsidP="00061E40">
      <w:pPr>
        <w:pStyle w:val="NoSpacing"/>
      </w:pPr>
    </w:p>
    <w:p w14:paraId="05CBDB83" w14:textId="77777777" w:rsidR="00E23853" w:rsidRDefault="00E23853" w:rsidP="00061E40">
      <w:pPr>
        <w:pStyle w:val="NoSpacing"/>
      </w:pPr>
    </w:p>
    <w:p w14:paraId="547F6133" w14:textId="35FEBB82" w:rsidR="00B00B9B" w:rsidRDefault="00B00B9B" w:rsidP="00E23853">
      <w:pPr>
        <w:pStyle w:val="NoSpacing"/>
        <w:jc w:val="center"/>
      </w:pPr>
    </w:p>
    <w:sectPr w:rsidR="00B00B9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6211" w14:textId="77777777" w:rsidR="00EB7F88" w:rsidRDefault="00EB7F88" w:rsidP="00584E95">
      <w:pPr>
        <w:spacing w:after="0" w:line="240" w:lineRule="auto"/>
      </w:pPr>
      <w:r>
        <w:separator/>
      </w:r>
    </w:p>
  </w:endnote>
  <w:endnote w:type="continuationSeparator" w:id="0">
    <w:p w14:paraId="5597B072" w14:textId="77777777" w:rsidR="00EB7F88" w:rsidRDefault="00EB7F88" w:rsidP="0058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B9B" w14:textId="68C68487" w:rsidR="00D0202E" w:rsidRDefault="00D0202E" w:rsidP="00B00B9B">
    <w:pPr>
      <w:pStyle w:val="Footer"/>
      <w:jc w:val="center"/>
    </w:pPr>
  </w:p>
  <w:p w14:paraId="4D1F7E40" w14:textId="65C8C90A" w:rsidR="00584E95" w:rsidRDefault="007819C9">
    <w:pPr>
      <w:pStyle w:val="Footer"/>
    </w:pPr>
    <w:r>
      <w:t>2022 08 BEH WRES</w:t>
    </w:r>
    <w:r w:rsidR="00B00B9B">
      <w:t xml:space="preserve"> Report to Public &amp; Annual Report 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ACD5" w14:textId="77777777" w:rsidR="00EB7F88" w:rsidRDefault="00EB7F88" w:rsidP="00584E95">
      <w:pPr>
        <w:spacing w:after="0" w:line="240" w:lineRule="auto"/>
      </w:pPr>
      <w:r>
        <w:separator/>
      </w:r>
    </w:p>
  </w:footnote>
  <w:footnote w:type="continuationSeparator" w:id="0">
    <w:p w14:paraId="397D6731" w14:textId="77777777" w:rsidR="00EB7F88" w:rsidRDefault="00EB7F88" w:rsidP="0058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D93" w14:textId="22E35FCE" w:rsidR="004E1B9C" w:rsidRDefault="007819C9" w:rsidP="004E1B9C">
    <w:pPr>
      <w:pStyle w:val="Header"/>
      <w:rPr>
        <w:noProof/>
      </w:rPr>
    </w:pPr>
    <w:r>
      <w:rPr>
        <w:noProof/>
      </w:rPr>
      <w:t xml:space="preserve"> </w:t>
    </w:r>
    <w:r w:rsidR="004E1B9C">
      <w:rPr>
        <w:noProof/>
      </w:rPr>
      <w:drawing>
        <wp:inline distT="0" distB="0" distL="0" distR="0" wp14:anchorId="4F1B5EDB" wp14:editId="4D628F63">
          <wp:extent cx="1435100" cy="858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935" cy="861590"/>
                  </a:xfrm>
                  <a:prstGeom prst="rect">
                    <a:avLst/>
                  </a:prstGeom>
                  <a:noFill/>
                  <a:ln>
                    <a:noFill/>
                  </a:ln>
                </pic:spPr>
              </pic:pic>
            </a:graphicData>
          </a:graphic>
        </wp:inline>
      </w:drawing>
    </w:r>
    <w:r w:rsidR="00B70962">
      <w:rPr>
        <w:noProof/>
      </w:rPr>
      <w:tab/>
    </w:r>
    <w:r w:rsidR="00B70962">
      <w:rPr>
        <w:noProof/>
      </w:rPr>
      <w:tab/>
    </w:r>
    <w:r w:rsidR="00B70962">
      <w:rPr>
        <w:noProof/>
      </w:rPr>
      <w:drawing>
        <wp:inline distT="0" distB="0" distL="0" distR="0" wp14:anchorId="458E2112" wp14:editId="789776A5">
          <wp:extent cx="2103120" cy="61836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38310" cy="628713"/>
                  </a:xfrm>
                  <a:prstGeom prst="rect">
                    <a:avLst/>
                  </a:prstGeom>
                </pic:spPr>
              </pic:pic>
            </a:graphicData>
          </a:graphic>
        </wp:inline>
      </w:drawing>
    </w:r>
  </w:p>
  <w:p w14:paraId="2E2CCF30" w14:textId="5923AA4C" w:rsidR="00D0202E" w:rsidRDefault="007819C9" w:rsidP="004E1B9C">
    <w:pPr>
      <w:pStyle w:val="Heade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9E3"/>
    <w:multiLevelType w:val="hybridMultilevel"/>
    <w:tmpl w:val="439AC160"/>
    <w:lvl w:ilvl="0" w:tplc="48CE5C8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A5BC7"/>
    <w:multiLevelType w:val="hybridMultilevel"/>
    <w:tmpl w:val="BADAD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61ABF"/>
    <w:multiLevelType w:val="hybridMultilevel"/>
    <w:tmpl w:val="897E3172"/>
    <w:lvl w:ilvl="0" w:tplc="48CE5C8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D43D32"/>
    <w:multiLevelType w:val="hybridMultilevel"/>
    <w:tmpl w:val="A2D08F10"/>
    <w:lvl w:ilvl="0" w:tplc="7D84BEB4">
      <w:start w:val="1"/>
      <w:numFmt w:val="decimal"/>
      <w:lvlText w:val="%1."/>
      <w:lvlJc w:val="left"/>
      <w:pPr>
        <w:ind w:left="720" w:hanging="360"/>
      </w:pPr>
      <w:rPr>
        <w:rFonts w:ascii="Calibri" w:eastAsiaTheme="majorEastAsia" w:hAnsi="Calibri" w:cstheme="majorBidi" w:hint="default"/>
        <w:b/>
        <w:color w:val="1F3763" w:themeColor="accent1" w:themeShade="7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A14F36"/>
    <w:multiLevelType w:val="hybridMultilevel"/>
    <w:tmpl w:val="0BAC0472"/>
    <w:lvl w:ilvl="0" w:tplc="48CE5C8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9"/>
    <w:rsid w:val="00005D56"/>
    <w:rsid w:val="00007558"/>
    <w:rsid w:val="00015B2E"/>
    <w:rsid w:val="00023BA2"/>
    <w:rsid w:val="00025EDE"/>
    <w:rsid w:val="000310D7"/>
    <w:rsid w:val="00032F1E"/>
    <w:rsid w:val="00035C2C"/>
    <w:rsid w:val="00042377"/>
    <w:rsid w:val="0004640F"/>
    <w:rsid w:val="00053465"/>
    <w:rsid w:val="000544F9"/>
    <w:rsid w:val="000612F8"/>
    <w:rsid w:val="00061E40"/>
    <w:rsid w:val="00062373"/>
    <w:rsid w:val="000632B2"/>
    <w:rsid w:val="00063CD4"/>
    <w:rsid w:val="00072D06"/>
    <w:rsid w:val="00074450"/>
    <w:rsid w:val="00096C31"/>
    <w:rsid w:val="000A3C2C"/>
    <w:rsid w:val="000B0809"/>
    <w:rsid w:val="000B740B"/>
    <w:rsid w:val="000C0512"/>
    <w:rsid w:val="000C5F8D"/>
    <w:rsid w:val="000C73A6"/>
    <w:rsid w:val="000D3A65"/>
    <w:rsid w:val="000D5C92"/>
    <w:rsid w:val="000E6F7A"/>
    <w:rsid w:val="001005DA"/>
    <w:rsid w:val="00101B58"/>
    <w:rsid w:val="00107A68"/>
    <w:rsid w:val="00114FDD"/>
    <w:rsid w:val="00116CEB"/>
    <w:rsid w:val="00131A01"/>
    <w:rsid w:val="00132AF0"/>
    <w:rsid w:val="00133247"/>
    <w:rsid w:val="0013657B"/>
    <w:rsid w:val="00162807"/>
    <w:rsid w:val="0016288F"/>
    <w:rsid w:val="0016462B"/>
    <w:rsid w:val="0016760E"/>
    <w:rsid w:val="00174567"/>
    <w:rsid w:val="00175D2B"/>
    <w:rsid w:val="00181618"/>
    <w:rsid w:val="00182CB9"/>
    <w:rsid w:val="00196091"/>
    <w:rsid w:val="001A2FD7"/>
    <w:rsid w:val="001A465F"/>
    <w:rsid w:val="001A5FED"/>
    <w:rsid w:val="001C26D7"/>
    <w:rsid w:val="001C485A"/>
    <w:rsid w:val="001C547B"/>
    <w:rsid w:val="001C6390"/>
    <w:rsid w:val="001D6223"/>
    <w:rsid w:val="001D6A5E"/>
    <w:rsid w:val="001E1190"/>
    <w:rsid w:val="001E4816"/>
    <w:rsid w:val="001F51E3"/>
    <w:rsid w:val="001F6259"/>
    <w:rsid w:val="002060E2"/>
    <w:rsid w:val="00213A9C"/>
    <w:rsid w:val="002179C1"/>
    <w:rsid w:val="00232D0A"/>
    <w:rsid w:val="0024097A"/>
    <w:rsid w:val="002456E5"/>
    <w:rsid w:val="0024739C"/>
    <w:rsid w:val="002505BC"/>
    <w:rsid w:val="00252756"/>
    <w:rsid w:val="00256973"/>
    <w:rsid w:val="00256CD3"/>
    <w:rsid w:val="00280892"/>
    <w:rsid w:val="00281606"/>
    <w:rsid w:val="00282239"/>
    <w:rsid w:val="002848A0"/>
    <w:rsid w:val="002863B2"/>
    <w:rsid w:val="00294DD7"/>
    <w:rsid w:val="00295AD7"/>
    <w:rsid w:val="0029693A"/>
    <w:rsid w:val="002A497A"/>
    <w:rsid w:val="002C2551"/>
    <w:rsid w:val="002C49FB"/>
    <w:rsid w:val="002C623F"/>
    <w:rsid w:val="002E0C47"/>
    <w:rsid w:val="002E1A3D"/>
    <w:rsid w:val="002E4765"/>
    <w:rsid w:val="002E6692"/>
    <w:rsid w:val="002F4DBE"/>
    <w:rsid w:val="003017DA"/>
    <w:rsid w:val="003033BA"/>
    <w:rsid w:val="0030355B"/>
    <w:rsid w:val="0030443F"/>
    <w:rsid w:val="00305CD0"/>
    <w:rsid w:val="00312C18"/>
    <w:rsid w:val="00323895"/>
    <w:rsid w:val="00324278"/>
    <w:rsid w:val="0032658A"/>
    <w:rsid w:val="00326A4E"/>
    <w:rsid w:val="0033664B"/>
    <w:rsid w:val="00342DBD"/>
    <w:rsid w:val="00356D30"/>
    <w:rsid w:val="00357AC5"/>
    <w:rsid w:val="003609C0"/>
    <w:rsid w:val="00367DDF"/>
    <w:rsid w:val="00371566"/>
    <w:rsid w:val="00377CF2"/>
    <w:rsid w:val="00383299"/>
    <w:rsid w:val="00386CC7"/>
    <w:rsid w:val="00390622"/>
    <w:rsid w:val="003925CD"/>
    <w:rsid w:val="00394FB9"/>
    <w:rsid w:val="003963BF"/>
    <w:rsid w:val="003B3EBA"/>
    <w:rsid w:val="003B69F6"/>
    <w:rsid w:val="003B7EF7"/>
    <w:rsid w:val="003C1C57"/>
    <w:rsid w:val="003C5707"/>
    <w:rsid w:val="003D25BC"/>
    <w:rsid w:val="003D2E68"/>
    <w:rsid w:val="003D4865"/>
    <w:rsid w:val="003D5904"/>
    <w:rsid w:val="003D643C"/>
    <w:rsid w:val="003E3F77"/>
    <w:rsid w:val="003E4E3A"/>
    <w:rsid w:val="003E6A2B"/>
    <w:rsid w:val="003E7BEF"/>
    <w:rsid w:val="003F4FC7"/>
    <w:rsid w:val="003F5984"/>
    <w:rsid w:val="00404F96"/>
    <w:rsid w:val="00405CA3"/>
    <w:rsid w:val="00407F6F"/>
    <w:rsid w:val="00416EB6"/>
    <w:rsid w:val="004220C6"/>
    <w:rsid w:val="00433C0C"/>
    <w:rsid w:val="00444BAA"/>
    <w:rsid w:val="0044505D"/>
    <w:rsid w:val="0046185A"/>
    <w:rsid w:val="00467EDD"/>
    <w:rsid w:val="0047075D"/>
    <w:rsid w:val="00485415"/>
    <w:rsid w:val="00485B40"/>
    <w:rsid w:val="0048655C"/>
    <w:rsid w:val="00487BA9"/>
    <w:rsid w:val="004A675D"/>
    <w:rsid w:val="004B501F"/>
    <w:rsid w:val="004B52EC"/>
    <w:rsid w:val="004C1613"/>
    <w:rsid w:val="004C4715"/>
    <w:rsid w:val="004C5F4F"/>
    <w:rsid w:val="004D777E"/>
    <w:rsid w:val="004E00B9"/>
    <w:rsid w:val="004E18CA"/>
    <w:rsid w:val="004E1B9C"/>
    <w:rsid w:val="004E7793"/>
    <w:rsid w:val="004F2EEB"/>
    <w:rsid w:val="004F31BF"/>
    <w:rsid w:val="004F336A"/>
    <w:rsid w:val="00500F00"/>
    <w:rsid w:val="00500FDD"/>
    <w:rsid w:val="005012B2"/>
    <w:rsid w:val="00502237"/>
    <w:rsid w:val="00505382"/>
    <w:rsid w:val="00514740"/>
    <w:rsid w:val="00515677"/>
    <w:rsid w:val="00522CC8"/>
    <w:rsid w:val="0052479C"/>
    <w:rsid w:val="00524994"/>
    <w:rsid w:val="0052719F"/>
    <w:rsid w:val="005279E0"/>
    <w:rsid w:val="005320FE"/>
    <w:rsid w:val="00535A7E"/>
    <w:rsid w:val="00536F78"/>
    <w:rsid w:val="00544ED2"/>
    <w:rsid w:val="00554218"/>
    <w:rsid w:val="00560E64"/>
    <w:rsid w:val="005715B3"/>
    <w:rsid w:val="00571755"/>
    <w:rsid w:val="00582C9C"/>
    <w:rsid w:val="00584E95"/>
    <w:rsid w:val="00585A6B"/>
    <w:rsid w:val="00587947"/>
    <w:rsid w:val="00590828"/>
    <w:rsid w:val="00595740"/>
    <w:rsid w:val="005A3184"/>
    <w:rsid w:val="005A3D4F"/>
    <w:rsid w:val="005A6026"/>
    <w:rsid w:val="005A734E"/>
    <w:rsid w:val="005B00ED"/>
    <w:rsid w:val="005C5628"/>
    <w:rsid w:val="005C571C"/>
    <w:rsid w:val="005D26BA"/>
    <w:rsid w:val="005D3531"/>
    <w:rsid w:val="005D36D2"/>
    <w:rsid w:val="005D5DCB"/>
    <w:rsid w:val="005D697B"/>
    <w:rsid w:val="005E3ECE"/>
    <w:rsid w:val="005F3DD8"/>
    <w:rsid w:val="006008A3"/>
    <w:rsid w:val="0060093F"/>
    <w:rsid w:val="00604E2C"/>
    <w:rsid w:val="00605F05"/>
    <w:rsid w:val="00625CC8"/>
    <w:rsid w:val="00625F22"/>
    <w:rsid w:val="006272D6"/>
    <w:rsid w:val="006301D7"/>
    <w:rsid w:val="00630586"/>
    <w:rsid w:val="0064039D"/>
    <w:rsid w:val="006462CA"/>
    <w:rsid w:val="00647C81"/>
    <w:rsid w:val="00653FEF"/>
    <w:rsid w:val="0065448E"/>
    <w:rsid w:val="00654636"/>
    <w:rsid w:val="00660343"/>
    <w:rsid w:val="006608FD"/>
    <w:rsid w:val="00664534"/>
    <w:rsid w:val="00664980"/>
    <w:rsid w:val="00667770"/>
    <w:rsid w:val="006722DB"/>
    <w:rsid w:val="006902D7"/>
    <w:rsid w:val="006908CB"/>
    <w:rsid w:val="006915F0"/>
    <w:rsid w:val="006952E0"/>
    <w:rsid w:val="006A0445"/>
    <w:rsid w:val="006A5329"/>
    <w:rsid w:val="006A7C30"/>
    <w:rsid w:val="006B1B9C"/>
    <w:rsid w:val="006C0206"/>
    <w:rsid w:val="006C0DFF"/>
    <w:rsid w:val="006D76AC"/>
    <w:rsid w:val="006E2F11"/>
    <w:rsid w:val="006E6D96"/>
    <w:rsid w:val="006F66B4"/>
    <w:rsid w:val="00700BC5"/>
    <w:rsid w:val="00705B5B"/>
    <w:rsid w:val="007073C5"/>
    <w:rsid w:val="00714822"/>
    <w:rsid w:val="007171B8"/>
    <w:rsid w:val="0072214B"/>
    <w:rsid w:val="00722292"/>
    <w:rsid w:val="007258EE"/>
    <w:rsid w:val="00737F09"/>
    <w:rsid w:val="0074106C"/>
    <w:rsid w:val="0074468C"/>
    <w:rsid w:val="00753430"/>
    <w:rsid w:val="00753CCF"/>
    <w:rsid w:val="00756876"/>
    <w:rsid w:val="007819C9"/>
    <w:rsid w:val="007872F8"/>
    <w:rsid w:val="007928A0"/>
    <w:rsid w:val="00793D55"/>
    <w:rsid w:val="007A0AD0"/>
    <w:rsid w:val="007A0EC8"/>
    <w:rsid w:val="007A1F3E"/>
    <w:rsid w:val="007B21FC"/>
    <w:rsid w:val="007B2D39"/>
    <w:rsid w:val="007C12E1"/>
    <w:rsid w:val="007C244D"/>
    <w:rsid w:val="007C4C1B"/>
    <w:rsid w:val="007C4E5E"/>
    <w:rsid w:val="007C62C0"/>
    <w:rsid w:val="007D46B3"/>
    <w:rsid w:val="007D5FB8"/>
    <w:rsid w:val="007D6DB6"/>
    <w:rsid w:val="007E3536"/>
    <w:rsid w:val="007F308C"/>
    <w:rsid w:val="007F433A"/>
    <w:rsid w:val="008104C2"/>
    <w:rsid w:val="0081074D"/>
    <w:rsid w:val="0082314C"/>
    <w:rsid w:val="008359AA"/>
    <w:rsid w:val="00843140"/>
    <w:rsid w:val="00856DAE"/>
    <w:rsid w:val="00857A89"/>
    <w:rsid w:val="00887BCF"/>
    <w:rsid w:val="00895F8E"/>
    <w:rsid w:val="008C076B"/>
    <w:rsid w:val="008C3208"/>
    <w:rsid w:val="008E60A3"/>
    <w:rsid w:val="008F25AE"/>
    <w:rsid w:val="008F263A"/>
    <w:rsid w:val="008F41A1"/>
    <w:rsid w:val="008F7500"/>
    <w:rsid w:val="008F7FBE"/>
    <w:rsid w:val="00901E47"/>
    <w:rsid w:val="00906B26"/>
    <w:rsid w:val="009071BE"/>
    <w:rsid w:val="009133C4"/>
    <w:rsid w:val="009134B2"/>
    <w:rsid w:val="00914B5B"/>
    <w:rsid w:val="009162DE"/>
    <w:rsid w:val="0091694E"/>
    <w:rsid w:val="00917E2B"/>
    <w:rsid w:val="00942CCB"/>
    <w:rsid w:val="00945964"/>
    <w:rsid w:val="0095076E"/>
    <w:rsid w:val="00950D88"/>
    <w:rsid w:val="0095706D"/>
    <w:rsid w:val="00966129"/>
    <w:rsid w:val="00966312"/>
    <w:rsid w:val="0097383D"/>
    <w:rsid w:val="009778B7"/>
    <w:rsid w:val="009814C7"/>
    <w:rsid w:val="00994D36"/>
    <w:rsid w:val="00997945"/>
    <w:rsid w:val="009B052B"/>
    <w:rsid w:val="009B6419"/>
    <w:rsid w:val="009B7A27"/>
    <w:rsid w:val="009C48BC"/>
    <w:rsid w:val="009D00A4"/>
    <w:rsid w:val="009D1ED9"/>
    <w:rsid w:val="009D1FF6"/>
    <w:rsid w:val="009F0BB0"/>
    <w:rsid w:val="009F1249"/>
    <w:rsid w:val="009F2140"/>
    <w:rsid w:val="009F555B"/>
    <w:rsid w:val="009F7974"/>
    <w:rsid w:val="009F7A41"/>
    <w:rsid w:val="00A13ABB"/>
    <w:rsid w:val="00A15359"/>
    <w:rsid w:val="00A2151E"/>
    <w:rsid w:val="00A37B8F"/>
    <w:rsid w:val="00A42EA4"/>
    <w:rsid w:val="00A4675C"/>
    <w:rsid w:val="00A51DDC"/>
    <w:rsid w:val="00A7422A"/>
    <w:rsid w:val="00A753E4"/>
    <w:rsid w:val="00A775D5"/>
    <w:rsid w:val="00A97430"/>
    <w:rsid w:val="00AA1562"/>
    <w:rsid w:val="00AA1BCF"/>
    <w:rsid w:val="00AA2E38"/>
    <w:rsid w:val="00AA3D6C"/>
    <w:rsid w:val="00AB7955"/>
    <w:rsid w:val="00AC1CAE"/>
    <w:rsid w:val="00AC2D1D"/>
    <w:rsid w:val="00AD6DE3"/>
    <w:rsid w:val="00AF2472"/>
    <w:rsid w:val="00AF738C"/>
    <w:rsid w:val="00B00B9B"/>
    <w:rsid w:val="00B0507C"/>
    <w:rsid w:val="00B07B6D"/>
    <w:rsid w:val="00B1020D"/>
    <w:rsid w:val="00B10D82"/>
    <w:rsid w:val="00B10DF2"/>
    <w:rsid w:val="00B12665"/>
    <w:rsid w:val="00B21BDB"/>
    <w:rsid w:val="00B324F7"/>
    <w:rsid w:val="00B404E7"/>
    <w:rsid w:val="00B60FB0"/>
    <w:rsid w:val="00B70962"/>
    <w:rsid w:val="00B712D1"/>
    <w:rsid w:val="00B76189"/>
    <w:rsid w:val="00B8267E"/>
    <w:rsid w:val="00B9015E"/>
    <w:rsid w:val="00B94299"/>
    <w:rsid w:val="00B95B2F"/>
    <w:rsid w:val="00B965E7"/>
    <w:rsid w:val="00B97C63"/>
    <w:rsid w:val="00BA361B"/>
    <w:rsid w:val="00BB3D43"/>
    <w:rsid w:val="00BB3E6A"/>
    <w:rsid w:val="00BC1156"/>
    <w:rsid w:val="00BE55A6"/>
    <w:rsid w:val="00BE5F09"/>
    <w:rsid w:val="00BE694B"/>
    <w:rsid w:val="00BF1BE5"/>
    <w:rsid w:val="00BF26D6"/>
    <w:rsid w:val="00C01AFC"/>
    <w:rsid w:val="00C05B57"/>
    <w:rsid w:val="00C05F1B"/>
    <w:rsid w:val="00C16717"/>
    <w:rsid w:val="00C17F35"/>
    <w:rsid w:val="00C23D2C"/>
    <w:rsid w:val="00C3006C"/>
    <w:rsid w:val="00C352F1"/>
    <w:rsid w:val="00C36D0A"/>
    <w:rsid w:val="00C407D7"/>
    <w:rsid w:val="00C52AD4"/>
    <w:rsid w:val="00C57292"/>
    <w:rsid w:val="00C57950"/>
    <w:rsid w:val="00C735E5"/>
    <w:rsid w:val="00C74867"/>
    <w:rsid w:val="00C74B20"/>
    <w:rsid w:val="00C81060"/>
    <w:rsid w:val="00C82C0D"/>
    <w:rsid w:val="00C83AA2"/>
    <w:rsid w:val="00C868CF"/>
    <w:rsid w:val="00C90AC5"/>
    <w:rsid w:val="00C917C4"/>
    <w:rsid w:val="00C92F3D"/>
    <w:rsid w:val="00C9346D"/>
    <w:rsid w:val="00C94EC1"/>
    <w:rsid w:val="00CA24B1"/>
    <w:rsid w:val="00CA3FA8"/>
    <w:rsid w:val="00CA4697"/>
    <w:rsid w:val="00CA4E2D"/>
    <w:rsid w:val="00CB0367"/>
    <w:rsid w:val="00CB57B1"/>
    <w:rsid w:val="00CC1D3C"/>
    <w:rsid w:val="00CC28BA"/>
    <w:rsid w:val="00CD127E"/>
    <w:rsid w:val="00CD150C"/>
    <w:rsid w:val="00CD5D1D"/>
    <w:rsid w:val="00CE0E53"/>
    <w:rsid w:val="00CE2176"/>
    <w:rsid w:val="00CE2193"/>
    <w:rsid w:val="00CF4D53"/>
    <w:rsid w:val="00CF4F05"/>
    <w:rsid w:val="00D01E69"/>
    <w:rsid w:val="00D0202E"/>
    <w:rsid w:val="00D02B51"/>
    <w:rsid w:val="00D03325"/>
    <w:rsid w:val="00D04E8E"/>
    <w:rsid w:val="00D05BD6"/>
    <w:rsid w:val="00D072EC"/>
    <w:rsid w:val="00D10B7D"/>
    <w:rsid w:val="00D16E14"/>
    <w:rsid w:val="00D17F0D"/>
    <w:rsid w:val="00D33A98"/>
    <w:rsid w:val="00D34011"/>
    <w:rsid w:val="00D50535"/>
    <w:rsid w:val="00D51C74"/>
    <w:rsid w:val="00D55CB5"/>
    <w:rsid w:val="00D55DF8"/>
    <w:rsid w:val="00D72D36"/>
    <w:rsid w:val="00D75791"/>
    <w:rsid w:val="00D774FC"/>
    <w:rsid w:val="00D8799D"/>
    <w:rsid w:val="00D904B1"/>
    <w:rsid w:val="00D965C1"/>
    <w:rsid w:val="00DA1E93"/>
    <w:rsid w:val="00DA2A55"/>
    <w:rsid w:val="00DA5CF7"/>
    <w:rsid w:val="00DA692D"/>
    <w:rsid w:val="00DA7F34"/>
    <w:rsid w:val="00DB1A03"/>
    <w:rsid w:val="00DB288D"/>
    <w:rsid w:val="00DC23AB"/>
    <w:rsid w:val="00DC6A46"/>
    <w:rsid w:val="00DD0AC0"/>
    <w:rsid w:val="00DD2004"/>
    <w:rsid w:val="00DD3166"/>
    <w:rsid w:val="00DD6B44"/>
    <w:rsid w:val="00DD7CCC"/>
    <w:rsid w:val="00DE01ED"/>
    <w:rsid w:val="00DE023F"/>
    <w:rsid w:val="00DE473F"/>
    <w:rsid w:val="00DF4855"/>
    <w:rsid w:val="00DF5167"/>
    <w:rsid w:val="00DF6E79"/>
    <w:rsid w:val="00DF7C09"/>
    <w:rsid w:val="00E0158C"/>
    <w:rsid w:val="00E028B7"/>
    <w:rsid w:val="00E0514C"/>
    <w:rsid w:val="00E11209"/>
    <w:rsid w:val="00E2124A"/>
    <w:rsid w:val="00E23853"/>
    <w:rsid w:val="00E44556"/>
    <w:rsid w:val="00E546E0"/>
    <w:rsid w:val="00E54D0D"/>
    <w:rsid w:val="00E54F8D"/>
    <w:rsid w:val="00E6406F"/>
    <w:rsid w:val="00E66590"/>
    <w:rsid w:val="00E67FE2"/>
    <w:rsid w:val="00E73B2D"/>
    <w:rsid w:val="00E7659A"/>
    <w:rsid w:val="00E76B98"/>
    <w:rsid w:val="00E8380A"/>
    <w:rsid w:val="00E921E4"/>
    <w:rsid w:val="00E94D17"/>
    <w:rsid w:val="00E95FD7"/>
    <w:rsid w:val="00E97A8E"/>
    <w:rsid w:val="00EA3AE0"/>
    <w:rsid w:val="00EA68D3"/>
    <w:rsid w:val="00EB11ED"/>
    <w:rsid w:val="00EB7F88"/>
    <w:rsid w:val="00EC1293"/>
    <w:rsid w:val="00EC5520"/>
    <w:rsid w:val="00ED50ED"/>
    <w:rsid w:val="00ED638E"/>
    <w:rsid w:val="00ED68CF"/>
    <w:rsid w:val="00EE51E3"/>
    <w:rsid w:val="00EE5FE5"/>
    <w:rsid w:val="00EE70A9"/>
    <w:rsid w:val="00EF2860"/>
    <w:rsid w:val="00EF557B"/>
    <w:rsid w:val="00EF7196"/>
    <w:rsid w:val="00F0285A"/>
    <w:rsid w:val="00F0784E"/>
    <w:rsid w:val="00F16D50"/>
    <w:rsid w:val="00F1742B"/>
    <w:rsid w:val="00F21159"/>
    <w:rsid w:val="00F25DEE"/>
    <w:rsid w:val="00F2749E"/>
    <w:rsid w:val="00F330D3"/>
    <w:rsid w:val="00F34B4C"/>
    <w:rsid w:val="00F409AC"/>
    <w:rsid w:val="00F40A05"/>
    <w:rsid w:val="00F41B68"/>
    <w:rsid w:val="00F55653"/>
    <w:rsid w:val="00F57A7A"/>
    <w:rsid w:val="00F62F9A"/>
    <w:rsid w:val="00F6479B"/>
    <w:rsid w:val="00F65869"/>
    <w:rsid w:val="00F671AE"/>
    <w:rsid w:val="00F67D8D"/>
    <w:rsid w:val="00F81DD8"/>
    <w:rsid w:val="00F833D3"/>
    <w:rsid w:val="00F90EEB"/>
    <w:rsid w:val="00F91403"/>
    <w:rsid w:val="00F9199B"/>
    <w:rsid w:val="00F97FD0"/>
    <w:rsid w:val="00FB2E17"/>
    <w:rsid w:val="00FC15D1"/>
    <w:rsid w:val="00FC1754"/>
    <w:rsid w:val="00FC2C48"/>
    <w:rsid w:val="00FC694E"/>
    <w:rsid w:val="00FD138A"/>
    <w:rsid w:val="00FD2026"/>
    <w:rsid w:val="00FD6AAE"/>
    <w:rsid w:val="00FD7A0B"/>
    <w:rsid w:val="00FE00DA"/>
    <w:rsid w:val="00FF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287B"/>
  <w15:chartTrackingRefBased/>
  <w15:docId w15:val="{36FC385B-CFDA-4C2D-B472-878F28F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8B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EE5FE5"/>
    <w:pPr>
      <w:keepNext/>
      <w:keepLines/>
      <w:spacing w:before="40" w:after="0"/>
      <w:outlineLvl w:val="1"/>
    </w:pPr>
    <w:rPr>
      <w:rFonts w:ascii="Calibri" w:eastAsiaTheme="majorEastAsia" w:hAnsi="Calibri" w:cstheme="majorBidi"/>
      <w:sz w:val="24"/>
      <w:szCs w:val="26"/>
      <w:u w:val="single"/>
    </w:rPr>
  </w:style>
  <w:style w:type="paragraph" w:styleId="Heading3">
    <w:name w:val="heading 3"/>
    <w:basedOn w:val="Normal"/>
    <w:next w:val="Normal"/>
    <w:link w:val="Heading3Char"/>
    <w:uiPriority w:val="9"/>
    <w:unhideWhenUsed/>
    <w:qFormat/>
    <w:rsid w:val="00895F8E"/>
    <w:pPr>
      <w:keepNext/>
      <w:keepLines/>
      <w:spacing w:before="40" w:after="0"/>
      <w:outlineLvl w:val="2"/>
    </w:pPr>
    <w:rPr>
      <w:rFonts w:ascii="Calibri" w:eastAsiaTheme="majorEastAsia" w:hAnsi="Calibr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3F"/>
    <w:pPr>
      <w:ind w:left="720"/>
      <w:contextualSpacing/>
    </w:pPr>
  </w:style>
  <w:style w:type="character" w:customStyle="1" w:styleId="Heading1Char">
    <w:name w:val="Heading 1 Char"/>
    <w:basedOn w:val="DefaultParagraphFont"/>
    <w:link w:val="Heading1"/>
    <w:uiPriority w:val="9"/>
    <w:rsid w:val="009C48BC"/>
    <w:rPr>
      <w:rFonts w:ascii="Calibri" w:eastAsiaTheme="majorEastAsia" w:hAnsi="Calibri" w:cstheme="majorBidi"/>
      <w:b/>
      <w:sz w:val="32"/>
      <w:szCs w:val="32"/>
    </w:rPr>
  </w:style>
  <w:style w:type="character" w:styleId="IntenseEmphasis">
    <w:name w:val="Intense Emphasis"/>
    <w:basedOn w:val="DefaultParagraphFont"/>
    <w:uiPriority w:val="21"/>
    <w:qFormat/>
    <w:rsid w:val="00664534"/>
    <w:rPr>
      <w:i/>
      <w:iCs/>
      <w:color w:val="4472C4" w:themeColor="accent1"/>
    </w:rPr>
  </w:style>
  <w:style w:type="character" w:styleId="Strong">
    <w:name w:val="Strong"/>
    <w:basedOn w:val="DefaultParagraphFont"/>
    <w:uiPriority w:val="22"/>
    <w:qFormat/>
    <w:rsid w:val="00664534"/>
    <w:rPr>
      <w:b/>
      <w:bCs/>
    </w:rPr>
  </w:style>
  <w:style w:type="table" w:styleId="TableGrid">
    <w:name w:val="Table Grid"/>
    <w:basedOn w:val="TableNormal"/>
    <w:uiPriority w:val="39"/>
    <w:rsid w:val="00DA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5FE5"/>
    <w:rPr>
      <w:rFonts w:ascii="Calibri" w:eastAsiaTheme="majorEastAsia" w:hAnsi="Calibri" w:cstheme="majorBidi"/>
      <w:sz w:val="24"/>
      <w:szCs w:val="26"/>
      <w:u w:val="single"/>
    </w:rPr>
  </w:style>
  <w:style w:type="paragraph" w:styleId="Header">
    <w:name w:val="header"/>
    <w:basedOn w:val="Normal"/>
    <w:link w:val="HeaderChar"/>
    <w:uiPriority w:val="99"/>
    <w:unhideWhenUsed/>
    <w:rsid w:val="0058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95"/>
  </w:style>
  <w:style w:type="paragraph" w:styleId="Footer">
    <w:name w:val="footer"/>
    <w:basedOn w:val="Normal"/>
    <w:link w:val="FooterChar"/>
    <w:uiPriority w:val="99"/>
    <w:unhideWhenUsed/>
    <w:rsid w:val="0058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95"/>
  </w:style>
  <w:style w:type="character" w:customStyle="1" w:styleId="Heading3Char">
    <w:name w:val="Heading 3 Char"/>
    <w:basedOn w:val="DefaultParagraphFont"/>
    <w:link w:val="Heading3"/>
    <w:uiPriority w:val="9"/>
    <w:rsid w:val="00895F8E"/>
    <w:rPr>
      <w:rFonts w:ascii="Calibri" w:eastAsiaTheme="majorEastAsia" w:hAnsi="Calibri" w:cstheme="majorBidi"/>
      <w:b/>
      <w:color w:val="1F3763" w:themeColor="accent1" w:themeShade="7F"/>
      <w:sz w:val="24"/>
      <w:szCs w:val="24"/>
    </w:rPr>
  </w:style>
  <w:style w:type="paragraph" w:styleId="NoSpacing">
    <w:name w:val="No Spacing"/>
    <w:uiPriority w:val="1"/>
    <w:qFormat/>
    <w:rsid w:val="00061E40"/>
    <w:pPr>
      <w:spacing w:after="0" w:line="240" w:lineRule="auto"/>
    </w:pPr>
  </w:style>
  <w:style w:type="paragraph" w:styleId="TOCHeading">
    <w:name w:val="TOC Heading"/>
    <w:basedOn w:val="Heading1"/>
    <w:next w:val="Normal"/>
    <w:uiPriority w:val="39"/>
    <w:unhideWhenUsed/>
    <w:qFormat/>
    <w:rsid w:val="00856DAE"/>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856DAE"/>
    <w:pPr>
      <w:spacing w:after="100"/>
    </w:pPr>
  </w:style>
  <w:style w:type="paragraph" w:styleId="TOC2">
    <w:name w:val="toc 2"/>
    <w:basedOn w:val="Normal"/>
    <w:next w:val="Normal"/>
    <w:autoRedefine/>
    <w:uiPriority w:val="39"/>
    <w:unhideWhenUsed/>
    <w:rsid w:val="00856DAE"/>
    <w:pPr>
      <w:spacing w:after="100"/>
      <w:ind w:left="220"/>
    </w:pPr>
  </w:style>
  <w:style w:type="paragraph" w:styleId="TOC3">
    <w:name w:val="toc 3"/>
    <w:basedOn w:val="Normal"/>
    <w:next w:val="Normal"/>
    <w:autoRedefine/>
    <w:uiPriority w:val="39"/>
    <w:unhideWhenUsed/>
    <w:rsid w:val="00856DAE"/>
    <w:pPr>
      <w:spacing w:after="100"/>
      <w:ind w:left="440"/>
    </w:pPr>
  </w:style>
  <w:style w:type="character" w:styleId="Hyperlink">
    <w:name w:val="Hyperlink"/>
    <w:basedOn w:val="DefaultParagraphFont"/>
    <w:uiPriority w:val="99"/>
    <w:unhideWhenUsed/>
    <w:rsid w:val="00856DAE"/>
    <w:rPr>
      <w:color w:val="0563C1" w:themeColor="hyperlink"/>
      <w:u w:val="single"/>
    </w:rPr>
  </w:style>
  <w:style w:type="character" w:styleId="UnresolvedMention">
    <w:name w:val="Unresolved Mention"/>
    <w:basedOn w:val="DefaultParagraphFont"/>
    <w:uiPriority w:val="99"/>
    <w:semiHidden/>
    <w:unhideWhenUsed/>
    <w:rsid w:val="001A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8EE95.626566A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hs-my.sharepoint.com/personal/nanette_tribble_nhs_net/Documents/Desktop/2022%20WRES%20Exec%20Brie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Non-clinical staff: ethnicity 2021-22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'(1) Indicator '!$B$2</c:f>
              <c:strCache>
                <c:ptCount val="1"/>
                <c:pt idx="0">
                  <c:v>White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'!$A$5:$A$16</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'!$B$5:$B$16</c:f>
              <c:numCache>
                <c:formatCode>General</c:formatCode>
                <c:ptCount val="12"/>
                <c:pt idx="0">
                  <c:v>20</c:v>
                </c:pt>
                <c:pt idx="1">
                  <c:v>63</c:v>
                </c:pt>
                <c:pt idx="2">
                  <c:v>82</c:v>
                </c:pt>
                <c:pt idx="3">
                  <c:v>42</c:v>
                </c:pt>
                <c:pt idx="4">
                  <c:v>19</c:v>
                </c:pt>
                <c:pt idx="5">
                  <c:v>25</c:v>
                </c:pt>
                <c:pt idx="6">
                  <c:v>13</c:v>
                </c:pt>
                <c:pt idx="7">
                  <c:v>17</c:v>
                </c:pt>
                <c:pt idx="8">
                  <c:v>10</c:v>
                </c:pt>
                <c:pt idx="9">
                  <c:v>3</c:v>
                </c:pt>
                <c:pt idx="10">
                  <c:v>4</c:v>
                </c:pt>
                <c:pt idx="11">
                  <c:v>7</c:v>
                </c:pt>
              </c:numCache>
              <c:extLst/>
            </c:numRef>
          </c:val>
          <c:extLst>
            <c:ext xmlns:c16="http://schemas.microsoft.com/office/drawing/2014/chart" uri="{C3380CC4-5D6E-409C-BE32-E72D297353CC}">
              <c16:uniqueId val="{00000000-D682-444F-BDA1-2D3867DDB60C}"/>
            </c:ext>
          </c:extLst>
        </c:ser>
        <c:ser>
          <c:idx val="1"/>
          <c:order val="1"/>
          <c:tx>
            <c:strRef>
              <c:f>'(1) Indicator '!$C$2</c:f>
              <c:strCache>
                <c:ptCount val="1"/>
                <c:pt idx="0">
                  <c:v>BME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'!$A$5:$A$16</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'!$C$5:$C$16</c:f>
              <c:numCache>
                <c:formatCode>General</c:formatCode>
                <c:ptCount val="12"/>
                <c:pt idx="0">
                  <c:v>32</c:v>
                </c:pt>
                <c:pt idx="1">
                  <c:v>70</c:v>
                </c:pt>
                <c:pt idx="2">
                  <c:v>93</c:v>
                </c:pt>
                <c:pt idx="3">
                  <c:v>39</c:v>
                </c:pt>
                <c:pt idx="4">
                  <c:v>22</c:v>
                </c:pt>
                <c:pt idx="5">
                  <c:v>30</c:v>
                </c:pt>
                <c:pt idx="6">
                  <c:v>9</c:v>
                </c:pt>
                <c:pt idx="7">
                  <c:v>13</c:v>
                </c:pt>
                <c:pt idx="8">
                  <c:v>1</c:v>
                </c:pt>
                <c:pt idx="9">
                  <c:v>2</c:v>
                </c:pt>
                <c:pt idx="10">
                  <c:v>1</c:v>
                </c:pt>
                <c:pt idx="11">
                  <c:v>1</c:v>
                </c:pt>
              </c:numCache>
              <c:extLst/>
            </c:numRef>
          </c:val>
          <c:extLst>
            <c:ext xmlns:c16="http://schemas.microsoft.com/office/drawing/2014/chart" uri="{C3380CC4-5D6E-409C-BE32-E72D297353CC}">
              <c16:uniqueId val="{00000001-D682-444F-BDA1-2D3867DDB60C}"/>
            </c:ext>
          </c:extLst>
        </c:ser>
        <c:ser>
          <c:idx val="2"/>
          <c:order val="2"/>
          <c:tx>
            <c:strRef>
              <c:f>'(1) Indicator '!$D$2</c:f>
              <c:strCache>
                <c:ptCount val="1"/>
                <c:pt idx="0">
                  <c:v>Not known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'!$A$5:$A$16</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'!$D$5:$D$16</c:f>
              <c:numCache>
                <c:formatCode>General</c:formatCode>
                <c:ptCount val="12"/>
                <c:pt idx="0">
                  <c:v>1</c:v>
                </c:pt>
                <c:pt idx="1">
                  <c:v>4</c:v>
                </c:pt>
                <c:pt idx="2">
                  <c:v>12</c:v>
                </c:pt>
                <c:pt idx="3">
                  <c:v>5</c:v>
                </c:pt>
                <c:pt idx="4">
                  <c:v>2</c:v>
                </c:pt>
                <c:pt idx="5">
                  <c:v>0</c:v>
                </c:pt>
                <c:pt idx="6">
                  <c:v>1</c:v>
                </c:pt>
                <c:pt idx="7">
                  <c:v>1</c:v>
                </c:pt>
                <c:pt idx="8">
                  <c:v>1</c:v>
                </c:pt>
                <c:pt idx="9">
                  <c:v>0</c:v>
                </c:pt>
                <c:pt idx="10">
                  <c:v>0</c:v>
                </c:pt>
                <c:pt idx="11">
                  <c:v>0</c:v>
                </c:pt>
              </c:numCache>
              <c:extLst/>
            </c:numRef>
          </c:val>
          <c:extLst>
            <c:ext xmlns:c16="http://schemas.microsoft.com/office/drawing/2014/chart" uri="{C3380CC4-5D6E-409C-BE32-E72D297353CC}">
              <c16:uniqueId val="{00000002-D682-444F-BDA1-2D3867DDB60C}"/>
            </c:ext>
          </c:extLst>
        </c:ser>
        <c:dLbls>
          <c:dLblPos val="ctr"/>
          <c:showLegendKey val="0"/>
          <c:showVal val="1"/>
          <c:showCatName val="0"/>
          <c:showSerName val="0"/>
          <c:showPercent val="0"/>
          <c:showBubbleSize val="0"/>
        </c:dLbls>
        <c:gapWidth val="79"/>
        <c:overlap val="100"/>
        <c:axId val="938416960"/>
        <c:axId val="938417616"/>
      </c:barChart>
      <c:catAx>
        <c:axId val="938416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38417616"/>
        <c:crosses val="autoZero"/>
        <c:auto val="1"/>
        <c:lblAlgn val="ctr"/>
        <c:lblOffset val="100"/>
        <c:noMultiLvlLbl val="0"/>
      </c:catAx>
      <c:valAx>
        <c:axId val="938417616"/>
        <c:scaling>
          <c:orientation val="minMax"/>
        </c:scaling>
        <c:delete val="1"/>
        <c:axPos val="l"/>
        <c:numFmt formatCode="0%" sourceLinked="1"/>
        <c:majorTickMark val="none"/>
        <c:minorTickMark val="none"/>
        <c:tickLblPos val="nextTo"/>
        <c:crossAx val="938416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Clinical staff: ethnicity 2021-22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'(1) Indicator '!$B$35</c:f>
              <c:strCache>
                <c:ptCount val="1"/>
                <c:pt idx="0">
                  <c:v>White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'!$A$38:$A$49</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'!$B$38:$B$49</c:f>
              <c:numCache>
                <c:formatCode>General</c:formatCode>
                <c:ptCount val="12"/>
                <c:pt idx="0">
                  <c:v>0</c:v>
                </c:pt>
                <c:pt idx="1">
                  <c:v>92</c:v>
                </c:pt>
                <c:pt idx="2">
                  <c:v>115</c:v>
                </c:pt>
                <c:pt idx="3">
                  <c:v>89</c:v>
                </c:pt>
                <c:pt idx="4">
                  <c:v>203</c:v>
                </c:pt>
                <c:pt idx="5">
                  <c:v>243</c:v>
                </c:pt>
                <c:pt idx="6">
                  <c:v>148</c:v>
                </c:pt>
                <c:pt idx="7">
                  <c:v>54</c:v>
                </c:pt>
                <c:pt idx="8">
                  <c:v>24</c:v>
                </c:pt>
                <c:pt idx="9">
                  <c:v>5</c:v>
                </c:pt>
                <c:pt idx="10">
                  <c:v>2</c:v>
                </c:pt>
                <c:pt idx="11">
                  <c:v>2</c:v>
                </c:pt>
              </c:numCache>
              <c:extLst/>
            </c:numRef>
          </c:val>
          <c:extLst>
            <c:ext xmlns:c16="http://schemas.microsoft.com/office/drawing/2014/chart" uri="{C3380CC4-5D6E-409C-BE32-E72D297353CC}">
              <c16:uniqueId val="{00000000-F33E-41B4-9427-0615F456613D}"/>
            </c:ext>
          </c:extLst>
        </c:ser>
        <c:ser>
          <c:idx val="1"/>
          <c:order val="1"/>
          <c:tx>
            <c:strRef>
              <c:f>'(1) Indicator '!$C$35</c:f>
              <c:strCache>
                <c:ptCount val="1"/>
                <c:pt idx="0">
                  <c:v>BME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'!$A$38:$A$49</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'!$C$38:$C$49</c:f>
              <c:numCache>
                <c:formatCode>General</c:formatCode>
                <c:ptCount val="12"/>
                <c:pt idx="0">
                  <c:v>1</c:v>
                </c:pt>
                <c:pt idx="1">
                  <c:v>402</c:v>
                </c:pt>
                <c:pt idx="2">
                  <c:v>135</c:v>
                </c:pt>
                <c:pt idx="3">
                  <c:v>301</c:v>
                </c:pt>
                <c:pt idx="4">
                  <c:v>337</c:v>
                </c:pt>
                <c:pt idx="5">
                  <c:v>233</c:v>
                </c:pt>
                <c:pt idx="6">
                  <c:v>87</c:v>
                </c:pt>
                <c:pt idx="7">
                  <c:v>25</c:v>
                </c:pt>
                <c:pt idx="8">
                  <c:v>15</c:v>
                </c:pt>
                <c:pt idx="9">
                  <c:v>2</c:v>
                </c:pt>
                <c:pt idx="10">
                  <c:v>1</c:v>
                </c:pt>
                <c:pt idx="11">
                  <c:v>1</c:v>
                </c:pt>
              </c:numCache>
              <c:extLst/>
            </c:numRef>
          </c:val>
          <c:extLst>
            <c:ext xmlns:c16="http://schemas.microsoft.com/office/drawing/2014/chart" uri="{C3380CC4-5D6E-409C-BE32-E72D297353CC}">
              <c16:uniqueId val="{00000001-F33E-41B4-9427-0615F456613D}"/>
            </c:ext>
          </c:extLst>
        </c:ser>
        <c:ser>
          <c:idx val="2"/>
          <c:order val="2"/>
          <c:tx>
            <c:strRef>
              <c:f>'(1) Indicator '!$D$35</c:f>
              <c:strCache>
                <c:ptCount val="1"/>
                <c:pt idx="0">
                  <c:v>Not known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'!$A$38:$A$49</c:f>
              <c:strCache>
                <c:ptCount val="12"/>
                <c:pt idx="0">
                  <c:v>B2</c:v>
                </c:pt>
                <c:pt idx="1">
                  <c:v>B3</c:v>
                </c:pt>
                <c:pt idx="2">
                  <c:v>B4</c:v>
                </c:pt>
                <c:pt idx="3">
                  <c:v>B5</c:v>
                </c:pt>
                <c:pt idx="4">
                  <c:v>B6</c:v>
                </c:pt>
                <c:pt idx="5">
                  <c:v>B7</c:v>
                </c:pt>
                <c:pt idx="6">
                  <c:v>B8a</c:v>
                </c:pt>
                <c:pt idx="7">
                  <c:v>B8b</c:v>
                </c:pt>
                <c:pt idx="8">
                  <c:v>B8c</c:v>
                </c:pt>
                <c:pt idx="9">
                  <c:v>B8d</c:v>
                </c:pt>
                <c:pt idx="10">
                  <c:v>B9</c:v>
                </c:pt>
                <c:pt idx="11">
                  <c:v>VSM</c:v>
                </c:pt>
              </c:strCache>
              <c:extLst/>
            </c:strRef>
          </c:cat>
          <c:val>
            <c:numRef>
              <c:f>'(1) Indicator '!$D$38:$D$49</c:f>
              <c:numCache>
                <c:formatCode>General</c:formatCode>
                <c:ptCount val="12"/>
                <c:pt idx="0">
                  <c:v>1</c:v>
                </c:pt>
                <c:pt idx="1">
                  <c:v>35</c:v>
                </c:pt>
                <c:pt idx="2">
                  <c:v>19</c:v>
                </c:pt>
                <c:pt idx="3">
                  <c:v>16</c:v>
                </c:pt>
                <c:pt idx="4">
                  <c:v>15</c:v>
                </c:pt>
                <c:pt idx="5">
                  <c:v>22</c:v>
                </c:pt>
                <c:pt idx="6">
                  <c:v>3</c:v>
                </c:pt>
                <c:pt idx="7">
                  <c:v>1</c:v>
                </c:pt>
                <c:pt idx="8">
                  <c:v>1</c:v>
                </c:pt>
                <c:pt idx="9">
                  <c:v>0</c:v>
                </c:pt>
                <c:pt idx="10">
                  <c:v>1</c:v>
                </c:pt>
                <c:pt idx="11">
                  <c:v>0</c:v>
                </c:pt>
              </c:numCache>
              <c:extLst/>
            </c:numRef>
          </c:val>
          <c:extLst>
            <c:ext xmlns:c16="http://schemas.microsoft.com/office/drawing/2014/chart" uri="{C3380CC4-5D6E-409C-BE32-E72D297353CC}">
              <c16:uniqueId val="{00000002-F33E-41B4-9427-0615F456613D}"/>
            </c:ext>
          </c:extLst>
        </c:ser>
        <c:dLbls>
          <c:dLblPos val="ctr"/>
          <c:showLegendKey val="0"/>
          <c:showVal val="1"/>
          <c:showCatName val="0"/>
          <c:showSerName val="0"/>
          <c:showPercent val="0"/>
          <c:showBubbleSize val="0"/>
        </c:dLbls>
        <c:gapWidth val="79"/>
        <c:overlap val="100"/>
        <c:axId val="744387000"/>
        <c:axId val="744381096"/>
      </c:barChart>
      <c:catAx>
        <c:axId val="744387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44381096"/>
        <c:crosses val="autoZero"/>
        <c:auto val="1"/>
        <c:lblAlgn val="ctr"/>
        <c:lblOffset val="100"/>
        <c:noMultiLvlLbl val="0"/>
      </c:catAx>
      <c:valAx>
        <c:axId val="744381096"/>
        <c:scaling>
          <c:orientation val="minMax"/>
        </c:scaling>
        <c:delete val="1"/>
        <c:axPos val="l"/>
        <c:numFmt formatCode="0%" sourceLinked="1"/>
        <c:majorTickMark val="none"/>
        <c:minorTickMark val="none"/>
        <c:tickLblPos val="nextTo"/>
        <c:crossAx val="744387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Medical &amp; Dental staff: ethnicity 2021-22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 Indicator '!$B$71</c:f>
              <c:strCache>
                <c:ptCount val="1"/>
                <c:pt idx="0">
                  <c:v>White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'!$A$72:$A$75</c:f>
              <c:strCache>
                <c:ptCount val="4"/>
                <c:pt idx="0">
                  <c:v>Consultants </c:v>
                </c:pt>
                <c:pt idx="1">
                  <c:v>Non-consultant career grade</c:v>
                </c:pt>
                <c:pt idx="2">
                  <c:v>Trainee grades </c:v>
                </c:pt>
                <c:pt idx="3">
                  <c:v>Other </c:v>
                </c:pt>
              </c:strCache>
            </c:strRef>
          </c:cat>
          <c:val>
            <c:numRef>
              <c:f>'(1) Indicator '!$B$72:$B$75</c:f>
              <c:numCache>
                <c:formatCode>General</c:formatCode>
                <c:ptCount val="4"/>
                <c:pt idx="0">
                  <c:v>64</c:v>
                </c:pt>
                <c:pt idx="1">
                  <c:v>17</c:v>
                </c:pt>
                <c:pt idx="2">
                  <c:v>38</c:v>
                </c:pt>
                <c:pt idx="3">
                  <c:v>4</c:v>
                </c:pt>
              </c:numCache>
            </c:numRef>
          </c:val>
          <c:extLst>
            <c:ext xmlns:c16="http://schemas.microsoft.com/office/drawing/2014/chart" uri="{C3380CC4-5D6E-409C-BE32-E72D297353CC}">
              <c16:uniqueId val="{00000000-38B2-43BD-A1B1-8FF86C8F8017}"/>
            </c:ext>
          </c:extLst>
        </c:ser>
        <c:ser>
          <c:idx val="1"/>
          <c:order val="1"/>
          <c:tx>
            <c:strRef>
              <c:f>'(1) Indicator '!$C$71</c:f>
              <c:strCache>
                <c:ptCount val="1"/>
                <c:pt idx="0">
                  <c:v>BME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'!$A$72:$A$75</c:f>
              <c:strCache>
                <c:ptCount val="4"/>
                <c:pt idx="0">
                  <c:v>Consultants </c:v>
                </c:pt>
                <c:pt idx="1">
                  <c:v>Non-consultant career grade</c:v>
                </c:pt>
                <c:pt idx="2">
                  <c:v>Trainee grades </c:v>
                </c:pt>
                <c:pt idx="3">
                  <c:v>Other </c:v>
                </c:pt>
              </c:strCache>
            </c:strRef>
          </c:cat>
          <c:val>
            <c:numRef>
              <c:f>'(1) Indicator '!$C$72:$C$75</c:f>
              <c:numCache>
                <c:formatCode>General</c:formatCode>
                <c:ptCount val="4"/>
                <c:pt idx="0">
                  <c:v>41</c:v>
                </c:pt>
                <c:pt idx="1">
                  <c:v>22</c:v>
                </c:pt>
                <c:pt idx="2">
                  <c:v>23</c:v>
                </c:pt>
                <c:pt idx="3">
                  <c:v>5</c:v>
                </c:pt>
              </c:numCache>
            </c:numRef>
          </c:val>
          <c:extLst>
            <c:ext xmlns:c16="http://schemas.microsoft.com/office/drawing/2014/chart" uri="{C3380CC4-5D6E-409C-BE32-E72D297353CC}">
              <c16:uniqueId val="{00000001-38B2-43BD-A1B1-8FF86C8F8017}"/>
            </c:ext>
          </c:extLst>
        </c:ser>
        <c:ser>
          <c:idx val="2"/>
          <c:order val="2"/>
          <c:tx>
            <c:strRef>
              <c:f>'(1) Indicator '!$D$71</c:f>
              <c:strCache>
                <c:ptCount val="1"/>
                <c:pt idx="0">
                  <c:v>Not known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Indicator '!$A$72:$A$75</c:f>
              <c:strCache>
                <c:ptCount val="4"/>
                <c:pt idx="0">
                  <c:v>Consultants </c:v>
                </c:pt>
                <c:pt idx="1">
                  <c:v>Non-consultant career grade</c:v>
                </c:pt>
                <c:pt idx="2">
                  <c:v>Trainee grades </c:v>
                </c:pt>
                <c:pt idx="3">
                  <c:v>Other </c:v>
                </c:pt>
              </c:strCache>
            </c:strRef>
          </c:cat>
          <c:val>
            <c:numRef>
              <c:f>'(1) Indicator '!$D$72:$D$75</c:f>
              <c:numCache>
                <c:formatCode>General</c:formatCode>
                <c:ptCount val="4"/>
                <c:pt idx="0">
                  <c:v>7</c:v>
                </c:pt>
                <c:pt idx="1">
                  <c:v>4</c:v>
                </c:pt>
                <c:pt idx="2">
                  <c:v>10</c:v>
                </c:pt>
                <c:pt idx="3">
                  <c:v>2</c:v>
                </c:pt>
              </c:numCache>
            </c:numRef>
          </c:val>
          <c:extLst>
            <c:ext xmlns:c16="http://schemas.microsoft.com/office/drawing/2014/chart" uri="{C3380CC4-5D6E-409C-BE32-E72D297353CC}">
              <c16:uniqueId val="{00000002-38B2-43BD-A1B1-8FF86C8F8017}"/>
            </c:ext>
          </c:extLst>
        </c:ser>
        <c:dLbls>
          <c:dLblPos val="outEnd"/>
          <c:showLegendKey val="0"/>
          <c:showVal val="1"/>
          <c:showCatName val="0"/>
          <c:showSerName val="0"/>
          <c:showPercent val="0"/>
          <c:showBubbleSize val="0"/>
        </c:dLbls>
        <c:gapWidth val="444"/>
        <c:overlap val="-90"/>
        <c:axId val="931525664"/>
        <c:axId val="931525336"/>
      </c:barChart>
      <c:catAx>
        <c:axId val="93152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31525336"/>
        <c:crosses val="autoZero"/>
        <c:auto val="1"/>
        <c:lblAlgn val="ctr"/>
        <c:lblOffset val="100"/>
        <c:noMultiLvlLbl val="0"/>
      </c:catAx>
      <c:valAx>
        <c:axId val="931525336"/>
        <c:scaling>
          <c:orientation val="minMax"/>
        </c:scaling>
        <c:delete val="1"/>
        <c:axPos val="l"/>
        <c:numFmt formatCode="General" sourceLinked="1"/>
        <c:majorTickMark val="none"/>
        <c:minorTickMark val="none"/>
        <c:tickLblPos val="nextTo"/>
        <c:crossAx val="931525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Percentage of staff experiencing bullying, harassment or abuse from patients, relatives or the public 2021-22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 Indicator '!$A$194</c:f>
              <c:strCache>
                <c:ptCount val="1"/>
                <c:pt idx="0">
                  <c:v>Staff from white communities</c:v>
                </c:pt>
              </c:strCache>
            </c:strRef>
          </c:tx>
          <c:spPr>
            <a:solidFill>
              <a:schemeClr val="accent1"/>
            </a:solidFill>
            <a:ln>
              <a:noFill/>
            </a:ln>
            <a:effectLst/>
          </c:spPr>
          <c:invertIfNegative val="0"/>
          <c:cat>
            <c:numRef>
              <c:f>'(1) Indicator '!$B$193:$F$193</c:f>
              <c:numCache>
                <c:formatCode>General</c:formatCode>
                <c:ptCount val="5"/>
                <c:pt idx="0">
                  <c:v>2017</c:v>
                </c:pt>
                <c:pt idx="1">
                  <c:v>2018</c:v>
                </c:pt>
                <c:pt idx="2">
                  <c:v>2019</c:v>
                </c:pt>
                <c:pt idx="3">
                  <c:v>2020</c:v>
                </c:pt>
                <c:pt idx="4">
                  <c:v>2021</c:v>
                </c:pt>
              </c:numCache>
            </c:numRef>
          </c:cat>
          <c:val>
            <c:numRef>
              <c:f>'(1) Indicator '!$B$194:$F$194</c:f>
              <c:numCache>
                <c:formatCode>0.00%</c:formatCode>
                <c:ptCount val="5"/>
                <c:pt idx="0">
                  <c:v>0.30099999999999999</c:v>
                </c:pt>
                <c:pt idx="1">
                  <c:v>0.33400000000000002</c:v>
                </c:pt>
                <c:pt idx="2">
                  <c:v>0.35799999999999998</c:v>
                </c:pt>
                <c:pt idx="3">
                  <c:v>0.29899999999999999</c:v>
                </c:pt>
                <c:pt idx="4">
                  <c:v>0.28399999999999997</c:v>
                </c:pt>
              </c:numCache>
            </c:numRef>
          </c:val>
          <c:extLst>
            <c:ext xmlns:c16="http://schemas.microsoft.com/office/drawing/2014/chart" uri="{C3380CC4-5D6E-409C-BE32-E72D297353CC}">
              <c16:uniqueId val="{00000000-2698-4DE0-9D3E-DD6F421B34F1}"/>
            </c:ext>
          </c:extLst>
        </c:ser>
        <c:ser>
          <c:idx val="1"/>
          <c:order val="1"/>
          <c:tx>
            <c:strRef>
              <c:f>'(1) Indicator '!$A$195</c:f>
              <c:strCache>
                <c:ptCount val="1"/>
                <c:pt idx="0">
                  <c:v>Staff from BAME communities</c:v>
                </c:pt>
              </c:strCache>
            </c:strRef>
          </c:tx>
          <c:spPr>
            <a:solidFill>
              <a:schemeClr val="accent2"/>
            </a:solidFill>
            <a:ln>
              <a:noFill/>
            </a:ln>
            <a:effectLst/>
          </c:spPr>
          <c:invertIfNegative val="0"/>
          <c:cat>
            <c:numRef>
              <c:f>'(1) Indicator '!$B$193:$F$193</c:f>
              <c:numCache>
                <c:formatCode>General</c:formatCode>
                <c:ptCount val="5"/>
                <c:pt idx="0">
                  <c:v>2017</c:v>
                </c:pt>
                <c:pt idx="1">
                  <c:v>2018</c:v>
                </c:pt>
                <c:pt idx="2">
                  <c:v>2019</c:v>
                </c:pt>
                <c:pt idx="3">
                  <c:v>2020</c:v>
                </c:pt>
                <c:pt idx="4">
                  <c:v>2021</c:v>
                </c:pt>
              </c:numCache>
            </c:numRef>
          </c:cat>
          <c:val>
            <c:numRef>
              <c:f>'(1) Indicator '!$B$195:$F$195</c:f>
              <c:numCache>
                <c:formatCode>0.00%</c:formatCode>
                <c:ptCount val="5"/>
                <c:pt idx="0">
                  <c:v>0.378</c:v>
                </c:pt>
                <c:pt idx="1">
                  <c:v>0.38200000000000001</c:v>
                </c:pt>
                <c:pt idx="2">
                  <c:v>0.372</c:v>
                </c:pt>
                <c:pt idx="3">
                  <c:v>0.34300000000000003</c:v>
                </c:pt>
                <c:pt idx="4">
                  <c:v>0.36099999999999999</c:v>
                </c:pt>
              </c:numCache>
            </c:numRef>
          </c:val>
          <c:extLst>
            <c:ext xmlns:c16="http://schemas.microsoft.com/office/drawing/2014/chart" uri="{C3380CC4-5D6E-409C-BE32-E72D297353CC}">
              <c16:uniqueId val="{00000001-2698-4DE0-9D3E-DD6F421B34F1}"/>
            </c:ext>
          </c:extLst>
        </c:ser>
        <c:dLbls>
          <c:showLegendKey val="0"/>
          <c:showVal val="0"/>
          <c:showCatName val="0"/>
          <c:showSerName val="0"/>
          <c:showPercent val="0"/>
          <c:showBubbleSize val="0"/>
        </c:dLbls>
        <c:gapWidth val="219"/>
        <c:overlap val="-27"/>
        <c:axId val="1251815912"/>
        <c:axId val="1251818536"/>
      </c:barChart>
      <c:catAx>
        <c:axId val="125181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818536"/>
        <c:crosses val="autoZero"/>
        <c:auto val="1"/>
        <c:lblAlgn val="ctr"/>
        <c:lblOffset val="100"/>
        <c:noMultiLvlLbl val="0"/>
      </c:catAx>
      <c:valAx>
        <c:axId val="1251818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81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Percentage of staff experiencing bullying, harassment or abuse from staff 2021-22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 Indicator '!$A$222</c:f>
              <c:strCache>
                <c:ptCount val="1"/>
                <c:pt idx="0">
                  <c:v>staff in white communities </c:v>
                </c:pt>
              </c:strCache>
            </c:strRef>
          </c:tx>
          <c:spPr>
            <a:solidFill>
              <a:schemeClr val="accent1"/>
            </a:solidFill>
            <a:ln>
              <a:noFill/>
            </a:ln>
            <a:effectLst/>
          </c:spPr>
          <c:invertIfNegative val="0"/>
          <c:cat>
            <c:numRef>
              <c:f>'(1) Indicator '!$B$221:$F$221</c:f>
              <c:numCache>
                <c:formatCode>General</c:formatCode>
                <c:ptCount val="5"/>
                <c:pt idx="0">
                  <c:v>2017</c:v>
                </c:pt>
                <c:pt idx="1">
                  <c:v>2018</c:v>
                </c:pt>
                <c:pt idx="2">
                  <c:v>2019</c:v>
                </c:pt>
                <c:pt idx="3">
                  <c:v>2020</c:v>
                </c:pt>
                <c:pt idx="4">
                  <c:v>2021</c:v>
                </c:pt>
              </c:numCache>
            </c:numRef>
          </c:cat>
          <c:val>
            <c:numRef>
              <c:f>'(1) Indicator '!$B$222:$F$222</c:f>
              <c:numCache>
                <c:formatCode>0.00%</c:formatCode>
                <c:ptCount val="5"/>
                <c:pt idx="0">
                  <c:v>0.24399999999999999</c:v>
                </c:pt>
                <c:pt idx="1">
                  <c:v>0.27100000000000002</c:v>
                </c:pt>
                <c:pt idx="2">
                  <c:v>0.27500000000000002</c:v>
                </c:pt>
                <c:pt idx="3">
                  <c:v>0.31</c:v>
                </c:pt>
                <c:pt idx="4">
                  <c:v>0.218</c:v>
                </c:pt>
              </c:numCache>
            </c:numRef>
          </c:val>
          <c:extLst>
            <c:ext xmlns:c16="http://schemas.microsoft.com/office/drawing/2014/chart" uri="{C3380CC4-5D6E-409C-BE32-E72D297353CC}">
              <c16:uniqueId val="{00000000-825A-4E04-B4F5-42BC07011EF5}"/>
            </c:ext>
          </c:extLst>
        </c:ser>
        <c:ser>
          <c:idx val="1"/>
          <c:order val="1"/>
          <c:tx>
            <c:strRef>
              <c:f>'(1) Indicator '!$A$223</c:f>
              <c:strCache>
                <c:ptCount val="1"/>
                <c:pt idx="0">
                  <c:v>staff in BAME communities</c:v>
                </c:pt>
              </c:strCache>
            </c:strRef>
          </c:tx>
          <c:spPr>
            <a:solidFill>
              <a:schemeClr val="accent2"/>
            </a:solidFill>
            <a:ln>
              <a:noFill/>
            </a:ln>
            <a:effectLst/>
          </c:spPr>
          <c:invertIfNegative val="0"/>
          <c:cat>
            <c:numRef>
              <c:f>'(1) Indicator '!$B$221:$F$221</c:f>
              <c:numCache>
                <c:formatCode>General</c:formatCode>
                <c:ptCount val="5"/>
                <c:pt idx="0">
                  <c:v>2017</c:v>
                </c:pt>
                <c:pt idx="1">
                  <c:v>2018</c:v>
                </c:pt>
                <c:pt idx="2">
                  <c:v>2019</c:v>
                </c:pt>
                <c:pt idx="3">
                  <c:v>2020</c:v>
                </c:pt>
                <c:pt idx="4">
                  <c:v>2021</c:v>
                </c:pt>
              </c:numCache>
            </c:numRef>
          </c:cat>
          <c:val>
            <c:numRef>
              <c:f>'(1) Indicator '!$B$223:$F$223</c:f>
              <c:numCache>
                <c:formatCode>0.00%</c:formatCode>
                <c:ptCount val="5"/>
                <c:pt idx="0">
                  <c:v>0.30499999999999999</c:v>
                </c:pt>
                <c:pt idx="1">
                  <c:v>0.28299999999999997</c:v>
                </c:pt>
                <c:pt idx="2">
                  <c:v>0.26900000000000002</c:v>
                </c:pt>
                <c:pt idx="3">
                  <c:v>0.27600000000000002</c:v>
                </c:pt>
                <c:pt idx="4">
                  <c:v>0.23599999999999999</c:v>
                </c:pt>
              </c:numCache>
            </c:numRef>
          </c:val>
          <c:extLst>
            <c:ext xmlns:c16="http://schemas.microsoft.com/office/drawing/2014/chart" uri="{C3380CC4-5D6E-409C-BE32-E72D297353CC}">
              <c16:uniqueId val="{00000001-825A-4E04-B4F5-42BC07011EF5}"/>
            </c:ext>
          </c:extLst>
        </c:ser>
        <c:dLbls>
          <c:showLegendKey val="0"/>
          <c:showVal val="0"/>
          <c:showCatName val="0"/>
          <c:showSerName val="0"/>
          <c:showPercent val="0"/>
          <c:showBubbleSize val="0"/>
        </c:dLbls>
        <c:gapWidth val="219"/>
        <c:overlap val="-27"/>
        <c:axId val="1204672088"/>
        <c:axId val="1204671760"/>
      </c:barChart>
      <c:catAx>
        <c:axId val="120467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671760"/>
        <c:crosses val="autoZero"/>
        <c:auto val="1"/>
        <c:lblAlgn val="ctr"/>
        <c:lblOffset val="100"/>
        <c:noMultiLvlLbl val="0"/>
      </c:catAx>
      <c:valAx>
        <c:axId val="120467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672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staff who believe the Trust provides equal opportunity for career progression and promotion  2021-22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 Indicator '!$A$176</c:f>
              <c:strCache>
                <c:ptCount val="1"/>
                <c:pt idx="0">
                  <c:v>Staff in white communities </c:v>
                </c:pt>
              </c:strCache>
            </c:strRef>
          </c:tx>
          <c:spPr>
            <a:solidFill>
              <a:schemeClr val="accent1"/>
            </a:solidFill>
            <a:ln>
              <a:noFill/>
            </a:ln>
            <a:effectLst/>
          </c:spPr>
          <c:invertIfNegative val="0"/>
          <c:cat>
            <c:numRef>
              <c:f>'(1) Indicator '!$B$175:$F$175</c:f>
              <c:numCache>
                <c:formatCode>General</c:formatCode>
                <c:ptCount val="5"/>
                <c:pt idx="0">
                  <c:v>2017</c:v>
                </c:pt>
                <c:pt idx="1">
                  <c:v>2018</c:v>
                </c:pt>
                <c:pt idx="2">
                  <c:v>2019</c:v>
                </c:pt>
                <c:pt idx="3">
                  <c:v>2020</c:v>
                </c:pt>
                <c:pt idx="4">
                  <c:v>2021</c:v>
                </c:pt>
              </c:numCache>
            </c:numRef>
          </c:cat>
          <c:val>
            <c:numRef>
              <c:f>'(1) Indicator '!$B$176:$F$176</c:f>
              <c:numCache>
                <c:formatCode>0.00%</c:formatCode>
                <c:ptCount val="5"/>
                <c:pt idx="0">
                  <c:v>0.51400000000000001</c:v>
                </c:pt>
                <c:pt idx="1">
                  <c:v>0.53300000000000003</c:v>
                </c:pt>
                <c:pt idx="2">
                  <c:v>0.502</c:v>
                </c:pt>
                <c:pt idx="3">
                  <c:v>0.53900000000000003</c:v>
                </c:pt>
                <c:pt idx="4">
                  <c:v>0.52800000000000002</c:v>
                </c:pt>
              </c:numCache>
            </c:numRef>
          </c:val>
          <c:extLst>
            <c:ext xmlns:c16="http://schemas.microsoft.com/office/drawing/2014/chart" uri="{C3380CC4-5D6E-409C-BE32-E72D297353CC}">
              <c16:uniqueId val="{00000000-F1B1-4F07-900D-F03B02BB8A0A}"/>
            </c:ext>
          </c:extLst>
        </c:ser>
        <c:ser>
          <c:idx val="1"/>
          <c:order val="1"/>
          <c:tx>
            <c:strRef>
              <c:f>'(1) Indicator '!$A$177</c:f>
              <c:strCache>
                <c:ptCount val="1"/>
                <c:pt idx="0">
                  <c:v>staff in BAME communities </c:v>
                </c:pt>
              </c:strCache>
            </c:strRef>
          </c:tx>
          <c:spPr>
            <a:solidFill>
              <a:schemeClr val="accent2"/>
            </a:solidFill>
            <a:ln>
              <a:noFill/>
            </a:ln>
            <a:effectLst/>
          </c:spPr>
          <c:invertIfNegative val="0"/>
          <c:cat>
            <c:numRef>
              <c:f>'(1) Indicator '!$B$175:$F$175</c:f>
              <c:numCache>
                <c:formatCode>General</c:formatCode>
                <c:ptCount val="5"/>
                <c:pt idx="0">
                  <c:v>2017</c:v>
                </c:pt>
                <c:pt idx="1">
                  <c:v>2018</c:v>
                </c:pt>
                <c:pt idx="2">
                  <c:v>2019</c:v>
                </c:pt>
                <c:pt idx="3">
                  <c:v>2020</c:v>
                </c:pt>
                <c:pt idx="4">
                  <c:v>2021</c:v>
                </c:pt>
              </c:numCache>
            </c:numRef>
          </c:cat>
          <c:val>
            <c:numRef>
              <c:f>'(1) Indicator '!$B$177:$F$177</c:f>
              <c:numCache>
                <c:formatCode>0.00%</c:formatCode>
                <c:ptCount val="5"/>
                <c:pt idx="0">
                  <c:v>0.45900000000000002</c:v>
                </c:pt>
                <c:pt idx="1">
                  <c:v>0.41699999999999998</c:v>
                </c:pt>
                <c:pt idx="2">
                  <c:v>0.38400000000000001</c:v>
                </c:pt>
                <c:pt idx="3">
                  <c:v>0.40300000000000002</c:v>
                </c:pt>
                <c:pt idx="4">
                  <c:v>0.46800000000000003</c:v>
                </c:pt>
              </c:numCache>
            </c:numRef>
          </c:val>
          <c:extLst>
            <c:ext xmlns:c16="http://schemas.microsoft.com/office/drawing/2014/chart" uri="{C3380CC4-5D6E-409C-BE32-E72D297353CC}">
              <c16:uniqueId val="{00000001-F1B1-4F07-900D-F03B02BB8A0A}"/>
            </c:ext>
          </c:extLst>
        </c:ser>
        <c:dLbls>
          <c:showLegendKey val="0"/>
          <c:showVal val="0"/>
          <c:showCatName val="0"/>
          <c:showSerName val="0"/>
          <c:showPercent val="0"/>
          <c:showBubbleSize val="0"/>
        </c:dLbls>
        <c:gapWidth val="219"/>
        <c:overlap val="-27"/>
        <c:axId val="940309776"/>
        <c:axId val="940310432"/>
      </c:barChart>
      <c:catAx>
        <c:axId val="94030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310432"/>
        <c:crosses val="autoZero"/>
        <c:auto val="1"/>
        <c:lblAlgn val="ctr"/>
        <c:lblOffset val="100"/>
        <c:noMultiLvlLbl val="0"/>
      </c:catAx>
      <c:valAx>
        <c:axId val="940310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30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800" b="0">
                <a:effectLst/>
              </a:rPr>
              <a:t>Percentage of staff who have personally experienced discrimination at work from a manager, team leader or other colleague 2021-22</a:t>
            </a:r>
            <a:endParaRPr lang="en-GB" sz="1800" b="1">
              <a:effectLst/>
            </a:endParaRPr>
          </a:p>
        </c:rich>
      </c:tx>
      <c:layout>
        <c:manualLayout>
          <c:xMode val="edge"/>
          <c:yMode val="edge"/>
          <c:x val="0.12106933508311458"/>
          <c:y val="4.6296296296296294E-3"/>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Sheet1!$A$8</c:f>
              <c:strCache>
                <c:ptCount val="1"/>
                <c:pt idx="0">
                  <c:v>Staff in white communities</c:v>
                </c:pt>
              </c:strCache>
            </c:strRef>
          </c:tx>
          <c:spPr>
            <a:solidFill>
              <a:schemeClr val="accent1"/>
            </a:solidFill>
            <a:ln>
              <a:noFill/>
            </a:ln>
            <a:effectLst/>
          </c:spPr>
          <c:invertIfNegative val="0"/>
          <c:cat>
            <c:numRef>
              <c:f>Sheet1!$B$7:$F$7</c:f>
              <c:numCache>
                <c:formatCode>General</c:formatCode>
                <c:ptCount val="5"/>
                <c:pt idx="0">
                  <c:v>2017</c:v>
                </c:pt>
                <c:pt idx="1">
                  <c:v>2018</c:v>
                </c:pt>
                <c:pt idx="2">
                  <c:v>2019</c:v>
                </c:pt>
                <c:pt idx="3">
                  <c:v>2020</c:v>
                </c:pt>
                <c:pt idx="4">
                  <c:v>2021</c:v>
                </c:pt>
              </c:numCache>
            </c:numRef>
          </c:cat>
          <c:val>
            <c:numRef>
              <c:f>Sheet1!$B$8:$F$8</c:f>
              <c:numCache>
                <c:formatCode>General</c:formatCode>
                <c:ptCount val="5"/>
                <c:pt idx="0">
                  <c:v>8.5</c:v>
                </c:pt>
                <c:pt idx="1">
                  <c:v>8.8000000000000007</c:v>
                </c:pt>
                <c:pt idx="2">
                  <c:v>7</c:v>
                </c:pt>
                <c:pt idx="3">
                  <c:v>7.2</c:v>
                </c:pt>
                <c:pt idx="4">
                  <c:v>9</c:v>
                </c:pt>
              </c:numCache>
            </c:numRef>
          </c:val>
          <c:extLst>
            <c:ext xmlns:c16="http://schemas.microsoft.com/office/drawing/2014/chart" uri="{C3380CC4-5D6E-409C-BE32-E72D297353CC}">
              <c16:uniqueId val="{00000000-0CD8-4943-AA34-C4F6510FF5A4}"/>
            </c:ext>
          </c:extLst>
        </c:ser>
        <c:ser>
          <c:idx val="1"/>
          <c:order val="1"/>
          <c:tx>
            <c:strRef>
              <c:f>Sheet1!$A$9</c:f>
              <c:strCache>
                <c:ptCount val="1"/>
                <c:pt idx="0">
                  <c:v>Staff in BAME communities </c:v>
                </c:pt>
              </c:strCache>
            </c:strRef>
          </c:tx>
          <c:spPr>
            <a:solidFill>
              <a:schemeClr val="accent2"/>
            </a:solidFill>
            <a:ln>
              <a:noFill/>
            </a:ln>
            <a:effectLst/>
          </c:spPr>
          <c:invertIfNegative val="0"/>
          <c:cat>
            <c:numRef>
              <c:f>Sheet1!$B$7:$F$7</c:f>
              <c:numCache>
                <c:formatCode>General</c:formatCode>
                <c:ptCount val="5"/>
                <c:pt idx="0">
                  <c:v>2017</c:v>
                </c:pt>
                <c:pt idx="1">
                  <c:v>2018</c:v>
                </c:pt>
                <c:pt idx="2">
                  <c:v>2019</c:v>
                </c:pt>
                <c:pt idx="3">
                  <c:v>2020</c:v>
                </c:pt>
                <c:pt idx="4">
                  <c:v>2021</c:v>
                </c:pt>
              </c:numCache>
            </c:numRef>
          </c:cat>
          <c:val>
            <c:numRef>
              <c:f>Sheet1!$B$9:$F$9</c:f>
              <c:numCache>
                <c:formatCode>General</c:formatCode>
                <c:ptCount val="5"/>
                <c:pt idx="0">
                  <c:v>13.3</c:v>
                </c:pt>
                <c:pt idx="1">
                  <c:v>12.5</c:v>
                </c:pt>
                <c:pt idx="2">
                  <c:v>13.5</c:v>
                </c:pt>
                <c:pt idx="3">
                  <c:v>15.9</c:v>
                </c:pt>
                <c:pt idx="4">
                  <c:v>14.4</c:v>
                </c:pt>
              </c:numCache>
            </c:numRef>
          </c:val>
          <c:extLst>
            <c:ext xmlns:c16="http://schemas.microsoft.com/office/drawing/2014/chart" uri="{C3380CC4-5D6E-409C-BE32-E72D297353CC}">
              <c16:uniqueId val="{00000001-0CD8-4943-AA34-C4F6510FF5A4}"/>
            </c:ext>
          </c:extLst>
        </c:ser>
        <c:dLbls>
          <c:showLegendKey val="0"/>
          <c:showVal val="0"/>
          <c:showCatName val="0"/>
          <c:showSerName val="0"/>
          <c:showPercent val="0"/>
          <c:showBubbleSize val="0"/>
        </c:dLbls>
        <c:gapWidth val="219"/>
        <c:overlap val="-27"/>
        <c:axId val="740456416"/>
        <c:axId val="740451824"/>
      </c:barChart>
      <c:catAx>
        <c:axId val="74045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451824"/>
        <c:crosses val="autoZero"/>
        <c:auto val="1"/>
        <c:lblAlgn val="ctr"/>
        <c:lblOffset val="100"/>
        <c:noMultiLvlLbl val="0"/>
      </c:catAx>
      <c:valAx>
        <c:axId val="74045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45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DB3E-2DB8-4714-A67C-AB82518FDD3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14142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TRIBBLE, Nanette (BARNET, ENFIELD AND HARINGEY MENTAL HEALTH NHS TRUST)</dc:creator>
  <cp:keywords/>
  <dc:description/>
  <cp:lastModifiedBy>BESERVE, Veronica (BARNET, ENFIELD AND HARINGEY MENTAL HEALTH NHS TRUST)</cp:lastModifiedBy>
  <cp:revision>2</cp:revision>
  <dcterms:created xsi:type="dcterms:W3CDTF">2022-11-09T10:49:00Z</dcterms:created>
  <dcterms:modified xsi:type="dcterms:W3CDTF">2022-11-09T10:49:00Z</dcterms:modified>
</cp:coreProperties>
</file>